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before="10" w:line="220" w:lineRule="exact"/>
        <w:rPr>
          <w:color w:val="auto"/>
          <w:sz w:val="22"/>
          <w:szCs w:val="22"/>
        </w:rPr>
      </w:pPr>
    </w:p>
    <w:p>
      <w:pPr>
        <w:pStyle w:val="3"/>
        <w:spacing w:line="615" w:lineRule="exact"/>
        <w:ind w:left="1543" w:right="0"/>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spacing w:val="-1"/>
          <w:w w:val="100"/>
          <w:lang w:eastAsia="zh-CN"/>
        </w:rPr>
        <w:t>东营</w:t>
      </w:r>
      <w:r>
        <w:rPr>
          <w:rFonts w:hint="eastAsia" w:asciiTheme="majorEastAsia" w:hAnsiTheme="majorEastAsia" w:eastAsiaTheme="majorEastAsia" w:cstheme="majorEastAsia"/>
          <w:b/>
          <w:bCs/>
          <w:color w:val="auto"/>
          <w:spacing w:val="-1"/>
          <w:w w:val="100"/>
        </w:rPr>
        <w:t>银行</w:t>
      </w:r>
      <w:r>
        <w:rPr>
          <w:rFonts w:hint="eastAsia" w:asciiTheme="majorEastAsia" w:hAnsiTheme="majorEastAsia" w:eastAsiaTheme="majorEastAsia" w:cstheme="majorEastAsia"/>
          <w:b/>
          <w:bCs/>
          <w:color w:val="auto"/>
          <w:spacing w:val="-3"/>
          <w:w w:val="100"/>
        </w:rPr>
        <w:t>股</w:t>
      </w:r>
      <w:r>
        <w:rPr>
          <w:rFonts w:hint="eastAsia" w:asciiTheme="majorEastAsia" w:hAnsiTheme="majorEastAsia" w:eastAsiaTheme="majorEastAsia" w:cstheme="majorEastAsia"/>
          <w:b/>
          <w:bCs/>
          <w:color w:val="auto"/>
          <w:spacing w:val="-1"/>
          <w:w w:val="100"/>
        </w:rPr>
        <w:t>份有</w:t>
      </w:r>
      <w:r>
        <w:rPr>
          <w:rFonts w:hint="eastAsia" w:asciiTheme="majorEastAsia" w:hAnsiTheme="majorEastAsia" w:eastAsiaTheme="majorEastAsia" w:cstheme="majorEastAsia"/>
          <w:b/>
          <w:bCs/>
          <w:color w:val="auto"/>
          <w:spacing w:val="-3"/>
          <w:w w:val="100"/>
        </w:rPr>
        <w:t>限</w:t>
      </w:r>
      <w:r>
        <w:rPr>
          <w:rFonts w:hint="eastAsia" w:asciiTheme="majorEastAsia" w:hAnsiTheme="majorEastAsia" w:eastAsiaTheme="majorEastAsia" w:cstheme="majorEastAsia"/>
          <w:b/>
          <w:bCs/>
          <w:color w:val="auto"/>
          <w:spacing w:val="-1"/>
          <w:w w:val="100"/>
        </w:rPr>
        <w:t>公</w:t>
      </w:r>
      <w:r>
        <w:rPr>
          <w:rFonts w:hint="eastAsia" w:asciiTheme="majorEastAsia" w:hAnsiTheme="majorEastAsia" w:eastAsiaTheme="majorEastAsia" w:cstheme="majorEastAsia"/>
          <w:b/>
          <w:bCs/>
          <w:color w:val="auto"/>
          <w:spacing w:val="0"/>
          <w:w w:val="100"/>
        </w:rPr>
        <w:t>司</w:t>
      </w:r>
    </w:p>
    <w:p>
      <w:pPr>
        <w:spacing w:before="12" w:line="280" w:lineRule="exact"/>
        <w:rPr>
          <w:color w:val="auto"/>
          <w:sz w:val="28"/>
          <w:szCs w:val="28"/>
        </w:rPr>
      </w:pPr>
    </w:p>
    <w:p>
      <w:pPr>
        <w:ind w:left="6" w:right="0" w:firstLine="0"/>
        <w:jc w:val="center"/>
        <w:rPr>
          <w:rFonts w:ascii="Microsoft JhengHei" w:hAnsi="Microsoft JhengHei" w:eastAsia="Microsoft JhengHei" w:cs="Microsoft JhengHei"/>
          <w:color w:val="auto"/>
          <w:sz w:val="52"/>
          <w:szCs w:val="52"/>
        </w:rPr>
      </w:pPr>
      <w:r>
        <w:rPr>
          <w:rFonts w:hint="eastAsia" w:ascii="Microsoft JhengHei" w:hAnsi="Microsoft JhengHei" w:eastAsia="Microsoft JhengHei" w:cs="Microsoft JhengHei"/>
          <w:color w:val="auto"/>
          <w:sz w:val="52"/>
          <w:szCs w:val="52"/>
        </w:rPr>
        <w:t>DONGYING BANK Co.,LTD.</w:t>
      </w:r>
    </w:p>
    <w:p>
      <w:pPr>
        <w:spacing w:before="2" w:line="170" w:lineRule="exact"/>
        <w:rPr>
          <w:color w:val="auto"/>
          <w:sz w:val="17"/>
          <w:szCs w:val="17"/>
        </w:rPr>
      </w:pPr>
    </w:p>
    <w:p>
      <w:pPr>
        <w:pStyle w:val="3"/>
        <w:spacing w:line="615" w:lineRule="exact"/>
        <w:ind w:right="0"/>
        <w:jc w:val="center"/>
        <w:rPr>
          <w:rFonts w:hint="eastAsia" w:asciiTheme="majorEastAsia" w:hAnsiTheme="majorEastAsia" w:eastAsiaTheme="majorEastAsia" w:cstheme="majorEastAsia"/>
          <w:b/>
          <w:bCs/>
          <w:color w:val="auto"/>
          <w:spacing w:val="-1"/>
          <w:w w:val="100"/>
          <w:lang w:eastAsia="zh-CN"/>
        </w:rPr>
      </w:pPr>
      <w:r>
        <w:rPr>
          <w:rFonts w:hint="eastAsia" w:asciiTheme="majorEastAsia" w:hAnsiTheme="majorEastAsia" w:eastAsiaTheme="majorEastAsia" w:cstheme="majorEastAsia"/>
          <w:b/>
          <w:bCs/>
          <w:color w:val="auto"/>
          <w:spacing w:val="-1"/>
          <w:w w:val="100"/>
          <w:lang w:eastAsia="zh-CN"/>
        </w:rPr>
        <w:t>202</w:t>
      </w:r>
      <w:r>
        <w:rPr>
          <w:rFonts w:hint="eastAsia" w:asciiTheme="majorEastAsia" w:hAnsiTheme="majorEastAsia" w:eastAsiaTheme="majorEastAsia" w:cstheme="majorEastAsia"/>
          <w:b/>
          <w:bCs/>
          <w:color w:val="auto"/>
          <w:spacing w:val="-1"/>
          <w:w w:val="100"/>
          <w:lang w:val="en-US" w:eastAsia="zh-CN"/>
        </w:rPr>
        <w:t>4</w:t>
      </w:r>
      <w:r>
        <w:rPr>
          <w:rFonts w:hint="eastAsia" w:asciiTheme="majorEastAsia" w:hAnsiTheme="majorEastAsia" w:eastAsiaTheme="majorEastAsia" w:cstheme="majorEastAsia"/>
          <w:b/>
          <w:bCs/>
          <w:color w:val="auto"/>
          <w:spacing w:val="-1"/>
          <w:w w:val="100"/>
          <w:lang w:eastAsia="zh-CN"/>
        </w:rPr>
        <w:t>年定向发行情况报告书</w:t>
      </w:r>
    </w:p>
    <w:p>
      <w:pPr>
        <w:spacing w:before="7" w:line="120" w:lineRule="exact"/>
        <w:rPr>
          <w:color w:val="auto"/>
          <w:sz w:val="12"/>
          <w:szCs w:val="12"/>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spacing w:line="200" w:lineRule="exact"/>
        <w:rPr>
          <w:color w:val="auto"/>
          <w:sz w:val="20"/>
          <w:szCs w:val="20"/>
        </w:rPr>
      </w:pPr>
    </w:p>
    <w:p>
      <w:pPr>
        <w:ind w:left="0" w:right="0" w:firstLine="0"/>
        <w:jc w:val="center"/>
        <w:rPr>
          <w:rFonts w:ascii="宋体" w:hAnsi="宋体" w:eastAsia="宋体" w:cs="宋体"/>
          <w:color w:val="auto"/>
          <w:sz w:val="30"/>
          <w:szCs w:val="30"/>
        </w:rPr>
      </w:pPr>
      <w:r>
        <w:rPr>
          <w:rFonts w:ascii="宋体" w:hAnsi="宋体" w:eastAsia="宋体" w:cs="宋体"/>
          <w:b w:val="0"/>
          <w:bCs w:val="0"/>
          <w:color w:val="auto"/>
          <w:spacing w:val="0"/>
          <w:w w:val="100"/>
          <w:sz w:val="30"/>
          <w:szCs w:val="30"/>
        </w:rPr>
        <w:t>住所：山东省</w:t>
      </w:r>
      <w:r>
        <w:rPr>
          <w:rFonts w:hint="eastAsia" w:ascii="宋体" w:hAnsi="宋体" w:eastAsia="宋体" w:cs="宋体"/>
          <w:b w:val="0"/>
          <w:bCs w:val="0"/>
          <w:color w:val="auto"/>
          <w:spacing w:val="0"/>
          <w:w w:val="100"/>
          <w:sz w:val="30"/>
          <w:szCs w:val="30"/>
          <w:lang w:eastAsia="zh-CN"/>
        </w:rPr>
        <w:t>东营</w:t>
      </w:r>
      <w:r>
        <w:rPr>
          <w:rFonts w:ascii="宋体" w:hAnsi="宋体" w:eastAsia="宋体" w:cs="宋体"/>
          <w:b w:val="0"/>
          <w:bCs w:val="0"/>
          <w:color w:val="auto"/>
          <w:spacing w:val="0"/>
          <w:w w:val="100"/>
          <w:sz w:val="30"/>
          <w:szCs w:val="30"/>
        </w:rPr>
        <w:t>市</w:t>
      </w:r>
      <w:r>
        <w:rPr>
          <w:rFonts w:hint="eastAsia" w:ascii="宋体" w:hAnsi="宋体" w:eastAsia="宋体" w:cs="宋体"/>
          <w:b w:val="0"/>
          <w:bCs w:val="0"/>
          <w:color w:val="auto"/>
          <w:spacing w:val="0"/>
          <w:w w:val="100"/>
          <w:sz w:val="30"/>
          <w:szCs w:val="30"/>
          <w:lang w:eastAsia="zh-CN"/>
        </w:rPr>
        <w:t>东营</w:t>
      </w:r>
      <w:r>
        <w:rPr>
          <w:rFonts w:ascii="宋体" w:hAnsi="宋体" w:eastAsia="宋体" w:cs="宋体"/>
          <w:b w:val="0"/>
          <w:bCs w:val="0"/>
          <w:color w:val="auto"/>
          <w:spacing w:val="0"/>
          <w:w w:val="100"/>
          <w:sz w:val="30"/>
          <w:szCs w:val="30"/>
        </w:rPr>
        <w:t>区</w:t>
      </w:r>
      <w:r>
        <w:rPr>
          <w:rFonts w:hint="eastAsia" w:ascii="宋体" w:hAnsi="宋体" w:eastAsia="宋体" w:cs="宋体"/>
          <w:b w:val="0"/>
          <w:bCs w:val="0"/>
          <w:color w:val="auto"/>
          <w:spacing w:val="0"/>
          <w:w w:val="100"/>
          <w:sz w:val="30"/>
          <w:szCs w:val="30"/>
          <w:lang w:eastAsia="zh-CN"/>
        </w:rPr>
        <w:t>府前大</w:t>
      </w:r>
      <w:r>
        <w:rPr>
          <w:rFonts w:ascii="宋体" w:hAnsi="宋体" w:eastAsia="宋体" w:cs="宋体"/>
          <w:b w:val="0"/>
          <w:bCs w:val="0"/>
          <w:color w:val="auto"/>
          <w:spacing w:val="0"/>
          <w:w w:val="100"/>
          <w:sz w:val="30"/>
          <w:szCs w:val="30"/>
        </w:rPr>
        <w:t>街</w:t>
      </w:r>
      <w:r>
        <w:rPr>
          <w:rFonts w:hint="eastAsia" w:ascii="宋体" w:hAnsi="宋体" w:eastAsia="宋体" w:cs="宋体"/>
          <w:b w:val="0"/>
          <w:bCs w:val="0"/>
          <w:color w:val="auto"/>
          <w:spacing w:val="0"/>
          <w:w w:val="100"/>
          <w:sz w:val="30"/>
          <w:szCs w:val="30"/>
          <w:lang w:val="en-US" w:eastAsia="zh-CN"/>
        </w:rPr>
        <w:t>87-1</w:t>
      </w:r>
      <w:r>
        <w:rPr>
          <w:rFonts w:ascii="宋体" w:hAnsi="宋体" w:eastAsia="宋体" w:cs="宋体"/>
          <w:b w:val="0"/>
          <w:bCs w:val="0"/>
          <w:color w:val="auto"/>
          <w:spacing w:val="0"/>
          <w:w w:val="100"/>
          <w:sz w:val="30"/>
          <w:szCs w:val="30"/>
        </w:rPr>
        <w:t>号</w:t>
      </w:r>
    </w:p>
    <w:p>
      <w:pPr>
        <w:spacing w:after="0"/>
        <w:jc w:val="center"/>
        <w:rPr>
          <w:rFonts w:ascii="宋体" w:hAnsi="宋体" w:eastAsia="宋体" w:cs="宋体"/>
          <w:color w:val="auto"/>
          <w:sz w:val="30"/>
          <w:szCs w:val="30"/>
        </w:rPr>
        <w:sectPr>
          <w:type w:val="continuous"/>
          <w:pgSz w:w="11906" w:h="16840"/>
          <w:pgMar w:top="1560" w:right="1680" w:bottom="280" w:left="1680" w:header="720" w:footer="720" w:gutter="0"/>
        </w:sectPr>
      </w:pPr>
    </w:p>
    <w:p>
      <w:pPr>
        <w:pStyle w:val="4"/>
        <w:tabs>
          <w:tab w:val="left" w:pos="561"/>
        </w:tabs>
        <w:spacing w:line="381" w:lineRule="exact"/>
        <w:ind w:right="119"/>
        <w:jc w:val="center"/>
        <w:rPr>
          <w:b/>
          <w:bCs/>
          <w:color w:val="auto"/>
        </w:rPr>
      </w:pPr>
      <w:r>
        <w:rPr>
          <w:b/>
          <w:bCs/>
          <w:color w:val="auto"/>
          <w:spacing w:val="0"/>
          <w:w w:val="100"/>
        </w:rPr>
        <w:t>声</w:t>
      </w:r>
      <w:r>
        <w:rPr>
          <w:b/>
          <w:bCs/>
          <w:color w:val="auto"/>
          <w:spacing w:val="0"/>
          <w:w w:val="100"/>
        </w:rPr>
        <w:tab/>
      </w:r>
      <w:r>
        <w:rPr>
          <w:b/>
          <w:bCs/>
          <w:color w:val="auto"/>
          <w:spacing w:val="0"/>
          <w:w w:val="100"/>
        </w:rPr>
        <w:t>明</w:t>
      </w:r>
    </w:p>
    <w:p>
      <w:pPr>
        <w:spacing w:before="1" w:line="140" w:lineRule="exact"/>
        <w:rPr>
          <w:color w:val="auto"/>
          <w:sz w:val="14"/>
          <w:szCs w:val="14"/>
        </w:rPr>
      </w:pPr>
    </w:p>
    <w:p>
      <w:pPr>
        <w:spacing w:line="200" w:lineRule="exact"/>
        <w:rPr>
          <w:color w:val="auto"/>
          <w:sz w:val="20"/>
          <w:szCs w:val="20"/>
        </w:rPr>
      </w:pPr>
    </w:p>
    <w:p>
      <w:pPr>
        <w:pStyle w:val="2"/>
        <w:spacing w:line="322" w:lineRule="auto"/>
        <w:ind w:left="111" w:right="0" w:firstLine="480"/>
        <w:jc w:val="lef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val="0"/>
          <w:bCs w:val="0"/>
          <w:color w:val="auto"/>
          <w:spacing w:val="0"/>
          <w:w w:val="100"/>
        </w:rPr>
        <w:t>本公司全体董事</w:t>
      </w:r>
      <w:r>
        <w:rPr>
          <w:rFonts w:hint="eastAsia" w:asciiTheme="majorEastAsia" w:hAnsiTheme="majorEastAsia" w:eastAsiaTheme="majorEastAsia" w:cstheme="majorEastAsia"/>
          <w:b w:val="0"/>
          <w:bCs w:val="0"/>
          <w:color w:val="auto"/>
          <w:spacing w:val="-80"/>
          <w:w w:val="100"/>
        </w:rPr>
        <w:t>、</w:t>
      </w:r>
      <w:r>
        <w:rPr>
          <w:rFonts w:hint="eastAsia" w:asciiTheme="majorEastAsia" w:hAnsiTheme="majorEastAsia" w:eastAsiaTheme="majorEastAsia" w:cstheme="majorEastAsia"/>
          <w:b w:val="0"/>
          <w:bCs w:val="0"/>
          <w:color w:val="auto"/>
          <w:spacing w:val="0"/>
          <w:w w:val="100"/>
        </w:rPr>
        <w:t>监事</w:t>
      </w:r>
      <w:r>
        <w:rPr>
          <w:rFonts w:hint="eastAsia" w:asciiTheme="majorEastAsia" w:hAnsiTheme="majorEastAsia" w:eastAsiaTheme="majorEastAsia" w:cstheme="majorEastAsia"/>
          <w:b w:val="0"/>
          <w:bCs w:val="0"/>
          <w:color w:val="auto"/>
          <w:spacing w:val="-77"/>
          <w:w w:val="100"/>
        </w:rPr>
        <w:t>、</w:t>
      </w:r>
      <w:r>
        <w:rPr>
          <w:rFonts w:hint="eastAsia" w:asciiTheme="majorEastAsia" w:hAnsiTheme="majorEastAsia" w:eastAsiaTheme="majorEastAsia" w:cstheme="majorEastAsia"/>
          <w:b w:val="0"/>
          <w:bCs w:val="0"/>
          <w:color w:val="auto"/>
          <w:spacing w:val="0"/>
          <w:w w:val="100"/>
        </w:rPr>
        <w:t>高级管理人员承诺本行发行情况报告书不存在虚假记载、 误导性陈述或重大遗漏，并对其真实性、准确性和完整性承担相应的法律责任。</w:t>
      </w:r>
    </w:p>
    <w:p>
      <w:pPr>
        <w:spacing w:before="2" w:line="240" w:lineRule="exact"/>
        <w:rPr>
          <w:color w:val="auto"/>
          <w:sz w:val="24"/>
          <w:szCs w:val="24"/>
        </w:rPr>
      </w:pPr>
    </w:p>
    <w:p>
      <w:pPr>
        <w:pStyle w:val="4"/>
        <w:tabs>
          <w:tab w:val="left" w:pos="561"/>
        </w:tabs>
        <w:ind w:right="119"/>
        <w:jc w:val="center"/>
        <w:rPr>
          <w:b/>
          <w:bCs/>
          <w:color w:val="auto"/>
        </w:rPr>
      </w:pPr>
      <w:r>
        <w:rPr>
          <w:b/>
          <w:bCs/>
          <w:color w:val="auto"/>
          <w:spacing w:val="0"/>
          <w:w w:val="100"/>
        </w:rPr>
        <w:t>释</w:t>
      </w:r>
      <w:r>
        <w:rPr>
          <w:b/>
          <w:bCs/>
          <w:color w:val="auto"/>
          <w:spacing w:val="0"/>
          <w:w w:val="100"/>
        </w:rPr>
        <w:tab/>
      </w:r>
      <w:r>
        <w:rPr>
          <w:b/>
          <w:bCs/>
          <w:color w:val="auto"/>
          <w:spacing w:val="0"/>
          <w:w w:val="100"/>
        </w:rPr>
        <w:t>义</w:t>
      </w:r>
    </w:p>
    <w:p>
      <w:pPr>
        <w:spacing w:line="200" w:lineRule="exact"/>
        <w:rPr>
          <w:color w:val="auto"/>
          <w:sz w:val="20"/>
          <w:szCs w:val="20"/>
        </w:rPr>
      </w:pPr>
    </w:p>
    <w:p>
      <w:pPr>
        <w:spacing w:line="200" w:lineRule="exact"/>
        <w:rPr>
          <w:color w:val="auto"/>
          <w:sz w:val="20"/>
          <w:szCs w:val="20"/>
        </w:rPr>
      </w:pPr>
    </w:p>
    <w:p>
      <w:pPr>
        <w:pStyle w:val="2"/>
        <w:ind w:right="0"/>
        <w:jc w:val="left"/>
        <w:rPr>
          <w:color w:val="auto"/>
        </w:rPr>
      </w:pPr>
      <w:r>
        <w:rPr>
          <w:b w:val="0"/>
          <w:bCs w:val="0"/>
          <w:color w:val="auto"/>
          <w:spacing w:val="0"/>
          <w:w w:val="100"/>
        </w:rPr>
        <w:t>除非本定向发行说明书另有所指，下列词语具有的含义如下：</w:t>
      </w:r>
    </w:p>
    <w:p>
      <w:pPr>
        <w:spacing w:before="7" w:line="110" w:lineRule="exact"/>
        <w:rPr>
          <w:color w:val="auto"/>
          <w:sz w:val="11"/>
          <w:szCs w:val="11"/>
        </w:rPr>
      </w:pPr>
    </w:p>
    <w:tbl>
      <w:tblPr>
        <w:tblStyle w:val="7"/>
        <w:tblW w:w="9147"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345"/>
        <w:gridCol w:w="550"/>
        <w:gridCol w:w="52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kern w:val="0"/>
                <w:szCs w:val="21"/>
              </w:rPr>
              <w:t>本</w:t>
            </w:r>
            <w:r>
              <w:rPr>
                <w:rFonts w:ascii="Times New Roman" w:hAnsi="Times New Roman"/>
                <w:kern w:val="0"/>
                <w:szCs w:val="21"/>
              </w:rPr>
              <w:t>公司</w:t>
            </w:r>
            <w:r>
              <w:rPr>
                <w:rFonts w:hint="eastAsia" w:ascii="Times New Roman" w:hAnsi="Times New Roman"/>
                <w:kern w:val="0"/>
                <w:szCs w:val="21"/>
              </w:rPr>
              <w:t>、公司</w:t>
            </w:r>
            <w:r>
              <w:rPr>
                <w:rFonts w:ascii="Times New Roman" w:hAnsi="Times New Roman"/>
                <w:kern w:val="0"/>
                <w:szCs w:val="21"/>
              </w:rPr>
              <w:t>、本行、</w:t>
            </w:r>
            <w:r>
              <w:rPr>
                <w:rFonts w:hint="eastAsia" w:ascii="Times New Roman" w:hAnsi="Times New Roman"/>
                <w:kern w:val="0"/>
                <w:szCs w:val="21"/>
              </w:rPr>
              <w:t>东营银行</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szCs w:val="21"/>
              </w:rPr>
              <w:t>东营银行股份有限公司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kern w:val="0"/>
                <w:szCs w:val="21"/>
              </w:rPr>
              <w:t>东营市商业银行</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szCs w:val="21"/>
              </w:rPr>
            </w:pPr>
            <w:r>
              <w:rPr>
                <w:rFonts w:hint="eastAsia" w:ascii="Times New Roman" w:hAnsi="Times New Roman"/>
                <w:kern w:val="0"/>
                <w:szCs w:val="21"/>
              </w:rPr>
              <w:t>东营市商业银行股份有限公司（公司曾用名）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股东大会</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szCs w:val="21"/>
              </w:rPr>
              <w:t>东营银行股份有限公司</w:t>
            </w:r>
            <w:r>
              <w:rPr>
                <w:rFonts w:ascii="Times New Roman" w:hAnsi="Times New Roman"/>
                <w:kern w:val="0"/>
                <w:szCs w:val="21"/>
              </w:rPr>
              <w:t>股东大会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董事会</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szCs w:val="21"/>
              </w:rPr>
              <w:t>东营银行股份有限公司</w:t>
            </w:r>
            <w:r>
              <w:rPr>
                <w:rFonts w:ascii="Times New Roman" w:hAnsi="Times New Roman"/>
                <w:kern w:val="0"/>
                <w:szCs w:val="21"/>
              </w:rPr>
              <w:t>董事会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监事会</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szCs w:val="21"/>
              </w:rPr>
              <w:t>东营银行股份有限公司</w:t>
            </w:r>
            <w:r>
              <w:rPr>
                <w:rFonts w:ascii="Times New Roman" w:hAnsi="Times New Roman"/>
                <w:kern w:val="0"/>
                <w:szCs w:val="21"/>
              </w:rPr>
              <w:t>监事会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报告期</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kern w:val="0"/>
                <w:szCs w:val="21"/>
              </w:rPr>
              <w:t>2022年度、2023</w:t>
            </w:r>
            <w:r>
              <w:rPr>
                <w:rFonts w:ascii="Times New Roman" w:hAnsi="Times New Roman"/>
                <w:kern w:val="0"/>
                <w:szCs w:val="21"/>
              </w:rPr>
              <w:t>年度</w:t>
            </w:r>
            <w:r>
              <w:rPr>
                <w:rFonts w:hint="eastAsia" w:ascii="Times New Roman" w:hAnsi="Times New Roman"/>
                <w:kern w:val="0"/>
                <w:szCs w:val="21"/>
              </w:rPr>
              <w:t>及2024年1-6月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本次定向发行、本次发行</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szCs w:val="21"/>
              </w:rPr>
              <w:t>东营银行股份有限公司</w:t>
            </w:r>
            <w:r>
              <w:rPr>
                <w:rFonts w:ascii="Times New Roman" w:hAnsi="Times New Roman"/>
                <w:kern w:val="0"/>
                <w:szCs w:val="21"/>
              </w:rPr>
              <w:t>通过定向发行方式，向认购人发行股票募集资金的行为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中国证监会</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中国证券监督管理委员会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rPr>
              <w:t>金融监督管理总局</w:t>
            </w:r>
          </w:p>
        </w:tc>
        <w:tc>
          <w:tcPr>
            <w:tcW w:w="550" w:type="dxa"/>
            <w:vAlign w:val="center"/>
          </w:tcPr>
          <w:p>
            <w:pPr>
              <w:autoSpaceDE w:val="0"/>
              <w:autoSpaceDN w:val="0"/>
              <w:adjustRightInd w:val="0"/>
              <w:spacing w:line="300" w:lineRule="exact"/>
              <w:jc w:val="center"/>
              <w:rPr>
                <w:rFonts w:hint="eastAsia" w:ascii="Times New Roman" w:hAnsi="Times New Roman"/>
              </w:rPr>
            </w:pPr>
            <w:r>
              <w:rPr>
                <w:rFonts w:hint="eastAsia" w:ascii="Times New Roman" w:hAnsi="Times New Roman"/>
              </w:rPr>
              <w:t>指</w:t>
            </w:r>
          </w:p>
        </w:tc>
        <w:tc>
          <w:tcPr>
            <w:tcW w:w="5252" w:type="dxa"/>
            <w:vAlign w:val="center"/>
          </w:tcPr>
          <w:p>
            <w:pPr>
              <w:autoSpaceDE w:val="0"/>
              <w:autoSpaceDN w:val="0"/>
              <w:adjustRightInd w:val="0"/>
              <w:spacing w:line="300" w:lineRule="exact"/>
              <w:jc w:val="left"/>
              <w:rPr>
                <w:rFonts w:hint="eastAsia" w:ascii="Times New Roman" w:hAnsi="Times New Roman"/>
              </w:rPr>
            </w:pPr>
            <w:r>
              <w:rPr>
                <w:rFonts w:hint="eastAsia" w:ascii="Times New Roman" w:hAnsi="Times New Roman"/>
              </w:rPr>
              <w:t>国家金融监督管理总局。2023年5月18日，国家金融监督管理总局在京正式挂牌。国家金融监督管理总局在中国银行保险监督管理委员会基础上组建，不再保留中国银行保险监督管理委员会。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中国银保监会</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ascii="Times New Roman" w:hAnsi="Times New Roman"/>
              </w:rPr>
              <w:t>中国银行保险监督管理委员会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中国银监会</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hint="eastAsia" w:ascii="Times New Roman" w:hAnsi="Times New Roman"/>
              </w:rPr>
              <w:t>中国银行业监督管理委员会，根据《深化党和国家机构改革方案》于2018年3月与中国保险监督管理委员会组建为中国银行保险监督管理委员会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hint="eastAsia" w:ascii="Times New Roman" w:hAnsi="Times New Roman"/>
                <w:kern w:val="0"/>
                <w:szCs w:val="21"/>
              </w:rPr>
            </w:pPr>
            <w:r>
              <w:rPr>
                <w:rFonts w:hint="eastAsia" w:ascii="Times New Roman" w:hAnsi="Times New Roman"/>
                <w:kern w:val="0"/>
                <w:szCs w:val="21"/>
              </w:rPr>
              <w:t>山东金融监管局</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hint="eastAsia" w:ascii="Times New Roman" w:hAnsi="Times New Roman"/>
              </w:rPr>
              <w:t>国家金融监督管理总局山东监管局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kern w:val="0"/>
                <w:szCs w:val="21"/>
              </w:rPr>
              <w:t>山东</w:t>
            </w:r>
            <w:r>
              <w:rPr>
                <w:rFonts w:ascii="Times New Roman" w:hAnsi="Times New Roman"/>
                <w:kern w:val="0"/>
                <w:szCs w:val="21"/>
              </w:rPr>
              <w:t>银</w:t>
            </w:r>
            <w:r>
              <w:rPr>
                <w:rFonts w:hint="eastAsia" w:ascii="Times New Roman" w:hAnsi="Times New Roman"/>
                <w:kern w:val="0"/>
                <w:szCs w:val="21"/>
              </w:rPr>
              <w:t>保</w:t>
            </w:r>
            <w:r>
              <w:rPr>
                <w:rFonts w:ascii="Times New Roman" w:hAnsi="Times New Roman"/>
                <w:kern w:val="0"/>
                <w:szCs w:val="21"/>
              </w:rPr>
              <w:t>监局</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ascii="Times New Roman" w:hAnsi="Times New Roman"/>
              </w:rPr>
              <w:t>中国银行</w:t>
            </w:r>
            <w:r>
              <w:rPr>
                <w:rFonts w:hint="eastAsia" w:ascii="Times New Roman" w:hAnsi="Times New Roman"/>
              </w:rPr>
              <w:t>保险</w:t>
            </w:r>
            <w:r>
              <w:rPr>
                <w:rFonts w:ascii="Times New Roman" w:hAnsi="Times New Roman"/>
              </w:rPr>
              <w:t>监督管理委员会</w:t>
            </w:r>
            <w:r>
              <w:rPr>
                <w:rFonts w:hint="eastAsia" w:ascii="Times New Roman" w:hAnsi="Times New Roman"/>
              </w:rPr>
              <w:t>山东</w:t>
            </w:r>
            <w:r>
              <w:rPr>
                <w:rFonts w:ascii="Times New Roman" w:hAnsi="Times New Roman"/>
              </w:rPr>
              <w:t>监管局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hint="eastAsia" w:ascii="Times New Roman" w:hAnsi="Times New Roman"/>
                <w:kern w:val="0"/>
                <w:szCs w:val="21"/>
              </w:rPr>
              <w:t>山东银监局</w:t>
            </w:r>
          </w:p>
        </w:tc>
        <w:tc>
          <w:tcPr>
            <w:tcW w:w="550" w:type="dxa"/>
            <w:vAlign w:val="center"/>
          </w:tcPr>
          <w:p>
            <w:pPr>
              <w:autoSpaceDE w:val="0"/>
              <w:autoSpaceDN w:val="0"/>
              <w:adjustRightInd w:val="0"/>
              <w:spacing w:line="300" w:lineRule="exact"/>
              <w:jc w:val="center"/>
              <w:rPr>
                <w:rFonts w:ascii="Times New Roman" w:hAnsi="Times New Roman"/>
              </w:rPr>
            </w:pPr>
            <w:r>
              <w:rPr>
                <w:rFonts w:hint="eastAsia"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ascii="Times New Roman" w:hAnsi="Times New Roman"/>
              </w:rPr>
              <w:t>中国银行</w:t>
            </w:r>
            <w:r>
              <w:rPr>
                <w:rFonts w:hint="eastAsia" w:ascii="Times New Roman" w:hAnsi="Times New Roman"/>
              </w:rPr>
              <w:t>业</w:t>
            </w:r>
            <w:r>
              <w:rPr>
                <w:rFonts w:ascii="Times New Roman" w:hAnsi="Times New Roman"/>
              </w:rPr>
              <w:t>监督管理委员会</w:t>
            </w:r>
            <w:r>
              <w:rPr>
                <w:rFonts w:hint="eastAsia" w:ascii="Times New Roman" w:hAnsi="Times New Roman"/>
              </w:rPr>
              <w:t>山东监管局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律师</w:t>
            </w:r>
            <w:r>
              <w:rPr>
                <w:rFonts w:hint="eastAsia" w:ascii="Times New Roman" w:hAnsi="Times New Roman"/>
                <w:kern w:val="0"/>
                <w:szCs w:val="21"/>
              </w:rPr>
              <w:t>/律师事务所</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autoSpaceDE w:val="0"/>
              <w:autoSpaceDN w:val="0"/>
              <w:adjustRightInd w:val="0"/>
              <w:spacing w:line="300" w:lineRule="exact"/>
              <w:jc w:val="left"/>
              <w:rPr>
                <w:rFonts w:ascii="Times New Roman" w:hAnsi="Times New Roman"/>
              </w:rPr>
            </w:pPr>
            <w:r>
              <w:rPr>
                <w:rFonts w:hint="eastAsia" w:ascii="Times New Roman" w:hAnsi="Times New Roman"/>
              </w:rPr>
              <w:t>江苏世纪同仁</w:t>
            </w:r>
            <w:r>
              <w:rPr>
                <w:rFonts w:ascii="Times New Roman" w:hAnsi="Times New Roman"/>
              </w:rPr>
              <w:t>律师事务所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rPr>
                <w:rFonts w:ascii="Times New Roman" w:hAnsi="Times New Roman"/>
              </w:rPr>
            </w:pPr>
            <w:r>
              <w:rPr>
                <w:rFonts w:ascii="Times New Roman" w:hAnsi="Times New Roman"/>
              </w:rPr>
              <w:t>会计师</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rPr>
              <w:t>指</w:t>
            </w:r>
          </w:p>
        </w:tc>
        <w:tc>
          <w:tcPr>
            <w:tcW w:w="5252" w:type="dxa"/>
            <w:vAlign w:val="center"/>
          </w:tcPr>
          <w:p>
            <w:pPr>
              <w:rPr>
                <w:rFonts w:ascii="Times New Roman" w:hAnsi="Times New Roman"/>
              </w:rPr>
            </w:pPr>
            <w:r>
              <w:rPr>
                <w:rFonts w:hint="eastAsia" w:ascii="Times New Roman" w:hAnsi="Times New Roman"/>
              </w:rPr>
              <w:t>信永中和</w:t>
            </w:r>
            <w:r>
              <w:rPr>
                <w:rFonts w:ascii="Times New Roman" w:hAnsi="Times New Roman"/>
              </w:rPr>
              <w:t>会计师事务所（特殊普通合伙）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rPr>
                <w:rFonts w:ascii="Times New Roman" w:hAnsi="Times New Roman"/>
              </w:rPr>
            </w:pPr>
            <w:r>
              <w:rPr>
                <w:rFonts w:hint="eastAsia" w:ascii="Times New Roman" w:hAnsi="Times New Roman"/>
              </w:rPr>
              <w:t>齐鲁股权交易中心</w:t>
            </w:r>
          </w:p>
        </w:tc>
        <w:tc>
          <w:tcPr>
            <w:tcW w:w="550" w:type="dxa"/>
            <w:vAlign w:val="center"/>
          </w:tcPr>
          <w:p>
            <w:pPr>
              <w:autoSpaceDE w:val="0"/>
              <w:autoSpaceDN w:val="0"/>
              <w:adjustRightInd w:val="0"/>
              <w:spacing w:line="300" w:lineRule="exact"/>
              <w:jc w:val="center"/>
              <w:rPr>
                <w:rFonts w:ascii="Times New Roman" w:hAnsi="Times New Roman"/>
              </w:rPr>
            </w:pPr>
            <w:r>
              <w:rPr>
                <w:rFonts w:hint="eastAsia" w:ascii="Times New Roman" w:hAnsi="Times New Roman"/>
              </w:rPr>
              <w:t>指</w:t>
            </w:r>
          </w:p>
        </w:tc>
        <w:tc>
          <w:tcPr>
            <w:tcW w:w="5252" w:type="dxa"/>
            <w:vAlign w:val="center"/>
          </w:tcPr>
          <w:p>
            <w:pPr>
              <w:rPr>
                <w:rFonts w:ascii="Times New Roman" w:hAnsi="Times New Roman"/>
              </w:rPr>
            </w:pPr>
            <w:r>
              <w:rPr>
                <w:rFonts w:hint="eastAsia" w:ascii="Times New Roman" w:hAnsi="Times New Roman"/>
              </w:rPr>
              <w:t>齐鲁股权交易中心有限公司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3345" w:type="dxa"/>
            <w:vAlign w:val="center"/>
          </w:tcPr>
          <w:p>
            <w:pPr>
              <w:rPr>
                <w:rFonts w:ascii="Times New Roman" w:hAnsi="Times New Roman"/>
              </w:rPr>
            </w:pPr>
            <w:r>
              <w:rPr>
                <w:rFonts w:ascii="Times New Roman" w:hAnsi="Times New Roman"/>
              </w:rPr>
              <w:t>定向发行说明书、本说明书</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kern w:val="0"/>
                <w:szCs w:val="21"/>
              </w:rPr>
              <w:t>指</w:t>
            </w:r>
          </w:p>
        </w:tc>
        <w:tc>
          <w:tcPr>
            <w:tcW w:w="5252" w:type="dxa"/>
            <w:vAlign w:val="center"/>
          </w:tcPr>
          <w:p>
            <w:pPr>
              <w:rPr>
                <w:rFonts w:ascii="Times New Roman" w:hAnsi="Times New Roman"/>
              </w:rPr>
            </w:pPr>
            <w:r>
              <w:rPr>
                <w:rFonts w:ascii="Times New Roman" w:hAnsi="Times New Roman"/>
              </w:rPr>
              <w:t>《东营银行股份有限公司定向发行说明书》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3345" w:type="dxa"/>
            <w:vAlign w:val="center"/>
          </w:tcPr>
          <w:p>
            <w:pPr>
              <w:rPr>
                <w:rFonts w:ascii="Times New Roman" w:hAnsi="Times New Roman"/>
              </w:rPr>
            </w:pPr>
            <w:r>
              <w:rPr>
                <w:rFonts w:hint="eastAsia" w:ascii="Times New Roman" w:hAnsi="Times New Roman"/>
              </w:rPr>
              <w:t>《公司章程》</w:t>
            </w:r>
          </w:p>
        </w:tc>
        <w:tc>
          <w:tcPr>
            <w:tcW w:w="550" w:type="dxa"/>
            <w:vAlign w:val="center"/>
          </w:tcPr>
          <w:p>
            <w:pPr>
              <w:autoSpaceDE w:val="0"/>
              <w:autoSpaceDN w:val="0"/>
              <w:adjustRightInd w:val="0"/>
              <w:spacing w:line="300" w:lineRule="exact"/>
              <w:jc w:val="center"/>
              <w:rPr>
                <w:rFonts w:ascii="Times New Roman" w:hAnsi="Times New Roman"/>
              </w:rPr>
            </w:pPr>
            <w:r>
              <w:rPr>
                <w:rFonts w:ascii="Times New Roman" w:hAnsi="Times New Roman"/>
                <w:kern w:val="0"/>
                <w:szCs w:val="21"/>
              </w:rPr>
              <w:t>指</w:t>
            </w:r>
          </w:p>
        </w:tc>
        <w:tc>
          <w:tcPr>
            <w:tcW w:w="5252" w:type="dxa"/>
            <w:vAlign w:val="center"/>
          </w:tcPr>
          <w:p>
            <w:pPr>
              <w:rPr>
                <w:rFonts w:ascii="Times New Roman" w:hAnsi="Times New Roman"/>
              </w:rPr>
            </w:pPr>
            <w:r>
              <w:rPr>
                <w:rFonts w:hint="eastAsia" w:ascii="Times New Roman" w:hAnsi="Times New Roman"/>
              </w:rPr>
              <w:t>《</w:t>
            </w:r>
            <w:r>
              <w:rPr>
                <w:rFonts w:ascii="Times New Roman" w:hAnsi="Times New Roman"/>
              </w:rPr>
              <w:t>东营银行股份有限公司</w:t>
            </w:r>
            <w:r>
              <w:rPr>
                <w:rFonts w:hint="eastAsia" w:ascii="Times New Roman" w:hAnsi="Times New Roman"/>
              </w:rPr>
              <w:t>章程》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元、</w:t>
            </w:r>
            <w:r>
              <w:rPr>
                <w:rFonts w:hint="eastAsia" w:ascii="Times New Roman" w:hAnsi="Times New Roman"/>
                <w:kern w:val="0"/>
                <w:szCs w:val="21"/>
              </w:rPr>
              <w:t>千</w:t>
            </w:r>
            <w:r>
              <w:rPr>
                <w:rFonts w:ascii="Times New Roman" w:hAnsi="Times New Roman"/>
                <w:kern w:val="0"/>
                <w:szCs w:val="21"/>
              </w:rPr>
              <w:t>元、</w:t>
            </w:r>
            <w:r>
              <w:rPr>
                <w:rFonts w:hint="eastAsia" w:ascii="Times New Roman" w:hAnsi="Times New Roman"/>
                <w:kern w:val="0"/>
                <w:szCs w:val="21"/>
              </w:rPr>
              <w:t>万元、</w:t>
            </w:r>
            <w:r>
              <w:rPr>
                <w:rFonts w:ascii="Times New Roman" w:hAnsi="Times New Roman"/>
                <w:kern w:val="0"/>
                <w:szCs w:val="21"/>
              </w:rPr>
              <w:t>亿元</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人民币元、人民币</w:t>
            </w:r>
            <w:r>
              <w:rPr>
                <w:rFonts w:hint="eastAsia" w:ascii="Times New Roman" w:hAnsi="Times New Roman"/>
                <w:kern w:val="0"/>
                <w:szCs w:val="21"/>
              </w:rPr>
              <w:t>千</w:t>
            </w:r>
            <w:r>
              <w:rPr>
                <w:rFonts w:ascii="Times New Roman" w:hAnsi="Times New Roman"/>
                <w:kern w:val="0"/>
                <w:szCs w:val="21"/>
              </w:rPr>
              <w:t>元、</w:t>
            </w:r>
            <w:r>
              <w:rPr>
                <w:rFonts w:hint="eastAsia" w:ascii="Times New Roman" w:hAnsi="Times New Roman"/>
                <w:kern w:val="0"/>
                <w:szCs w:val="21"/>
              </w:rPr>
              <w:t>人民币万元、</w:t>
            </w:r>
            <w:r>
              <w:rPr>
                <w:rFonts w:ascii="Times New Roman" w:hAnsi="Times New Roman"/>
                <w:kern w:val="0"/>
                <w:szCs w:val="21"/>
              </w:rPr>
              <w:t>人民币亿元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《公司法》</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《中华人民共和国公司法》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3345"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《证券法》</w:t>
            </w:r>
          </w:p>
        </w:tc>
        <w:tc>
          <w:tcPr>
            <w:tcW w:w="550" w:type="dxa"/>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指</w:t>
            </w:r>
          </w:p>
        </w:tc>
        <w:tc>
          <w:tcPr>
            <w:tcW w:w="5252" w:type="dxa"/>
            <w:vAlign w:val="center"/>
          </w:tcPr>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《中华人民共和国证券法》</w:t>
            </w:r>
          </w:p>
        </w:tc>
      </w:tr>
    </w:tbl>
    <w:p>
      <w:pPr>
        <w:spacing w:after="0" w:line="263" w:lineRule="exact"/>
        <w:jc w:val="left"/>
        <w:rPr>
          <w:rFonts w:ascii="宋体" w:hAnsi="宋体" w:eastAsia="宋体" w:cs="宋体"/>
          <w:b w:val="0"/>
          <w:bCs w:val="0"/>
          <w:color w:val="auto"/>
          <w:spacing w:val="0"/>
          <w:w w:val="100"/>
          <w:sz w:val="21"/>
          <w:szCs w:val="21"/>
        </w:rPr>
      </w:pPr>
      <w:r>
        <w:rPr>
          <w:rFonts w:ascii="宋体" w:hAnsi="宋体" w:eastAsia="宋体" w:cs="宋体"/>
          <w:b w:val="0"/>
          <w:bCs w:val="0"/>
          <w:color w:val="auto"/>
          <w:spacing w:val="-1"/>
          <w:w w:val="100"/>
          <w:sz w:val="21"/>
          <w:szCs w:val="21"/>
        </w:rPr>
        <w:t>注</w:t>
      </w:r>
      <w:r>
        <w:rPr>
          <w:rFonts w:ascii="宋体" w:hAnsi="宋体" w:eastAsia="宋体" w:cs="宋体"/>
          <w:b w:val="0"/>
          <w:bCs w:val="0"/>
          <w:color w:val="auto"/>
          <w:spacing w:val="2"/>
          <w:w w:val="100"/>
          <w:sz w:val="21"/>
          <w:szCs w:val="21"/>
        </w:rPr>
        <w:t>：</w:t>
      </w:r>
      <w:r>
        <w:rPr>
          <w:rFonts w:ascii="宋体" w:hAnsi="宋体" w:eastAsia="宋体" w:cs="宋体"/>
          <w:b w:val="0"/>
          <w:bCs w:val="0"/>
          <w:color w:val="auto"/>
          <w:spacing w:val="-1"/>
          <w:w w:val="100"/>
          <w:sz w:val="21"/>
          <w:szCs w:val="21"/>
        </w:rPr>
        <w:t>本</w:t>
      </w:r>
      <w:r>
        <w:rPr>
          <w:rFonts w:ascii="宋体" w:hAnsi="宋体" w:eastAsia="宋体" w:cs="宋体"/>
          <w:b w:val="0"/>
          <w:bCs w:val="0"/>
          <w:color w:val="auto"/>
          <w:spacing w:val="2"/>
          <w:w w:val="100"/>
          <w:sz w:val="21"/>
          <w:szCs w:val="21"/>
        </w:rPr>
        <w:t>定</w:t>
      </w:r>
      <w:r>
        <w:rPr>
          <w:rFonts w:ascii="宋体" w:hAnsi="宋体" w:eastAsia="宋体" w:cs="宋体"/>
          <w:b w:val="0"/>
          <w:bCs w:val="0"/>
          <w:color w:val="auto"/>
          <w:spacing w:val="-1"/>
          <w:w w:val="100"/>
          <w:sz w:val="21"/>
          <w:szCs w:val="21"/>
        </w:rPr>
        <w:t>向</w:t>
      </w:r>
      <w:r>
        <w:rPr>
          <w:rFonts w:ascii="宋体" w:hAnsi="宋体" w:eastAsia="宋体" w:cs="宋体"/>
          <w:b w:val="0"/>
          <w:bCs w:val="0"/>
          <w:color w:val="auto"/>
          <w:spacing w:val="2"/>
          <w:w w:val="100"/>
          <w:sz w:val="21"/>
          <w:szCs w:val="21"/>
        </w:rPr>
        <w:t>发</w:t>
      </w:r>
      <w:r>
        <w:rPr>
          <w:rFonts w:ascii="宋体" w:hAnsi="宋体" w:eastAsia="宋体" w:cs="宋体"/>
          <w:b w:val="0"/>
          <w:bCs w:val="0"/>
          <w:color w:val="auto"/>
          <w:spacing w:val="-1"/>
          <w:w w:val="100"/>
          <w:sz w:val="21"/>
          <w:szCs w:val="21"/>
        </w:rPr>
        <w:t>行</w:t>
      </w:r>
      <w:r>
        <w:rPr>
          <w:rFonts w:ascii="宋体" w:hAnsi="宋体" w:eastAsia="宋体" w:cs="宋体"/>
          <w:b w:val="0"/>
          <w:bCs w:val="0"/>
          <w:color w:val="auto"/>
          <w:spacing w:val="2"/>
          <w:w w:val="100"/>
          <w:sz w:val="21"/>
          <w:szCs w:val="21"/>
        </w:rPr>
        <w:t>说</w:t>
      </w:r>
      <w:r>
        <w:rPr>
          <w:rFonts w:ascii="宋体" w:hAnsi="宋体" w:eastAsia="宋体" w:cs="宋体"/>
          <w:b w:val="0"/>
          <w:bCs w:val="0"/>
          <w:color w:val="auto"/>
          <w:spacing w:val="-1"/>
          <w:w w:val="100"/>
          <w:sz w:val="21"/>
          <w:szCs w:val="21"/>
        </w:rPr>
        <w:t>明</w:t>
      </w:r>
      <w:r>
        <w:rPr>
          <w:rFonts w:ascii="宋体" w:hAnsi="宋体" w:eastAsia="宋体" w:cs="宋体"/>
          <w:b w:val="0"/>
          <w:bCs w:val="0"/>
          <w:color w:val="auto"/>
          <w:spacing w:val="2"/>
          <w:w w:val="100"/>
          <w:sz w:val="21"/>
          <w:szCs w:val="21"/>
        </w:rPr>
        <w:t>书</w:t>
      </w:r>
      <w:r>
        <w:rPr>
          <w:rFonts w:ascii="宋体" w:hAnsi="宋体" w:eastAsia="宋体" w:cs="宋体"/>
          <w:b w:val="0"/>
          <w:bCs w:val="0"/>
          <w:color w:val="auto"/>
          <w:spacing w:val="-1"/>
          <w:w w:val="100"/>
          <w:sz w:val="21"/>
          <w:szCs w:val="21"/>
        </w:rPr>
        <w:t>若</w:t>
      </w:r>
      <w:r>
        <w:rPr>
          <w:rFonts w:ascii="宋体" w:hAnsi="宋体" w:eastAsia="宋体" w:cs="宋体"/>
          <w:b w:val="0"/>
          <w:bCs w:val="0"/>
          <w:color w:val="auto"/>
          <w:spacing w:val="2"/>
          <w:w w:val="100"/>
          <w:sz w:val="21"/>
          <w:szCs w:val="21"/>
        </w:rPr>
        <w:t>出</w:t>
      </w:r>
      <w:r>
        <w:rPr>
          <w:rFonts w:ascii="宋体" w:hAnsi="宋体" w:eastAsia="宋体" w:cs="宋体"/>
          <w:b w:val="0"/>
          <w:bCs w:val="0"/>
          <w:color w:val="auto"/>
          <w:spacing w:val="-1"/>
          <w:w w:val="100"/>
          <w:sz w:val="21"/>
          <w:szCs w:val="21"/>
        </w:rPr>
        <w:t>现</w:t>
      </w:r>
      <w:r>
        <w:rPr>
          <w:rFonts w:ascii="宋体" w:hAnsi="宋体" w:eastAsia="宋体" w:cs="宋体"/>
          <w:b w:val="0"/>
          <w:bCs w:val="0"/>
          <w:color w:val="auto"/>
          <w:spacing w:val="2"/>
          <w:w w:val="100"/>
          <w:sz w:val="21"/>
          <w:szCs w:val="21"/>
        </w:rPr>
        <w:t>总</w:t>
      </w:r>
      <w:r>
        <w:rPr>
          <w:rFonts w:ascii="宋体" w:hAnsi="宋体" w:eastAsia="宋体" w:cs="宋体"/>
          <w:b w:val="0"/>
          <w:bCs w:val="0"/>
          <w:color w:val="auto"/>
          <w:spacing w:val="-1"/>
          <w:w w:val="100"/>
          <w:sz w:val="21"/>
          <w:szCs w:val="21"/>
        </w:rPr>
        <w:t>数</w:t>
      </w:r>
      <w:r>
        <w:rPr>
          <w:rFonts w:ascii="宋体" w:hAnsi="宋体" w:eastAsia="宋体" w:cs="宋体"/>
          <w:b w:val="0"/>
          <w:bCs w:val="0"/>
          <w:color w:val="auto"/>
          <w:spacing w:val="2"/>
          <w:w w:val="100"/>
          <w:sz w:val="21"/>
          <w:szCs w:val="21"/>
        </w:rPr>
        <w:t>与</w:t>
      </w:r>
      <w:r>
        <w:rPr>
          <w:rFonts w:ascii="宋体" w:hAnsi="宋体" w:eastAsia="宋体" w:cs="宋体"/>
          <w:b w:val="0"/>
          <w:bCs w:val="0"/>
          <w:color w:val="auto"/>
          <w:spacing w:val="-1"/>
          <w:w w:val="100"/>
          <w:sz w:val="21"/>
          <w:szCs w:val="21"/>
        </w:rPr>
        <w:t>各</w:t>
      </w:r>
      <w:r>
        <w:rPr>
          <w:rFonts w:ascii="宋体" w:hAnsi="宋体" w:eastAsia="宋体" w:cs="宋体"/>
          <w:b w:val="0"/>
          <w:bCs w:val="0"/>
          <w:color w:val="auto"/>
          <w:spacing w:val="2"/>
          <w:w w:val="100"/>
          <w:sz w:val="21"/>
          <w:szCs w:val="21"/>
        </w:rPr>
        <w:t>分</w:t>
      </w:r>
      <w:r>
        <w:rPr>
          <w:rFonts w:ascii="宋体" w:hAnsi="宋体" w:eastAsia="宋体" w:cs="宋体"/>
          <w:b w:val="0"/>
          <w:bCs w:val="0"/>
          <w:color w:val="auto"/>
          <w:spacing w:val="-1"/>
          <w:w w:val="100"/>
          <w:sz w:val="21"/>
          <w:szCs w:val="21"/>
        </w:rPr>
        <w:t>项</w:t>
      </w:r>
      <w:r>
        <w:rPr>
          <w:rFonts w:ascii="宋体" w:hAnsi="宋体" w:eastAsia="宋体" w:cs="宋体"/>
          <w:b w:val="0"/>
          <w:bCs w:val="0"/>
          <w:color w:val="auto"/>
          <w:spacing w:val="2"/>
          <w:w w:val="100"/>
          <w:sz w:val="21"/>
          <w:szCs w:val="21"/>
        </w:rPr>
        <w:t>数</w:t>
      </w:r>
      <w:r>
        <w:rPr>
          <w:rFonts w:ascii="宋体" w:hAnsi="宋体" w:eastAsia="宋体" w:cs="宋体"/>
          <w:b w:val="0"/>
          <w:bCs w:val="0"/>
          <w:color w:val="auto"/>
          <w:spacing w:val="-1"/>
          <w:w w:val="100"/>
          <w:sz w:val="21"/>
          <w:szCs w:val="21"/>
        </w:rPr>
        <w:t>值</w:t>
      </w:r>
      <w:r>
        <w:rPr>
          <w:rFonts w:ascii="宋体" w:hAnsi="宋体" w:eastAsia="宋体" w:cs="宋体"/>
          <w:b w:val="0"/>
          <w:bCs w:val="0"/>
          <w:color w:val="auto"/>
          <w:spacing w:val="2"/>
          <w:w w:val="100"/>
          <w:sz w:val="21"/>
          <w:szCs w:val="21"/>
        </w:rPr>
        <w:t>之</w:t>
      </w:r>
      <w:r>
        <w:rPr>
          <w:rFonts w:ascii="宋体" w:hAnsi="宋体" w:eastAsia="宋体" w:cs="宋体"/>
          <w:b w:val="0"/>
          <w:bCs w:val="0"/>
          <w:color w:val="auto"/>
          <w:spacing w:val="-1"/>
          <w:w w:val="100"/>
          <w:sz w:val="21"/>
          <w:szCs w:val="21"/>
        </w:rPr>
        <w:t>和</w:t>
      </w:r>
      <w:r>
        <w:rPr>
          <w:rFonts w:ascii="宋体" w:hAnsi="宋体" w:eastAsia="宋体" w:cs="宋体"/>
          <w:b w:val="0"/>
          <w:bCs w:val="0"/>
          <w:color w:val="auto"/>
          <w:spacing w:val="2"/>
          <w:w w:val="100"/>
          <w:sz w:val="21"/>
          <w:szCs w:val="21"/>
        </w:rPr>
        <w:t>尾</w:t>
      </w:r>
      <w:r>
        <w:rPr>
          <w:rFonts w:ascii="宋体" w:hAnsi="宋体" w:eastAsia="宋体" w:cs="宋体"/>
          <w:b w:val="0"/>
          <w:bCs w:val="0"/>
          <w:color w:val="auto"/>
          <w:spacing w:val="-1"/>
          <w:w w:val="100"/>
          <w:sz w:val="21"/>
          <w:szCs w:val="21"/>
        </w:rPr>
        <w:t>数</w:t>
      </w:r>
      <w:r>
        <w:rPr>
          <w:rFonts w:ascii="宋体" w:hAnsi="宋体" w:eastAsia="宋体" w:cs="宋体"/>
          <w:b w:val="0"/>
          <w:bCs w:val="0"/>
          <w:color w:val="auto"/>
          <w:spacing w:val="2"/>
          <w:w w:val="100"/>
          <w:sz w:val="21"/>
          <w:szCs w:val="21"/>
        </w:rPr>
        <w:t>不</w:t>
      </w:r>
      <w:r>
        <w:rPr>
          <w:rFonts w:ascii="宋体" w:hAnsi="宋体" w:eastAsia="宋体" w:cs="宋体"/>
          <w:b w:val="0"/>
          <w:bCs w:val="0"/>
          <w:color w:val="auto"/>
          <w:spacing w:val="-1"/>
          <w:w w:val="100"/>
          <w:sz w:val="21"/>
          <w:szCs w:val="21"/>
        </w:rPr>
        <w:t>符</w:t>
      </w:r>
      <w:r>
        <w:rPr>
          <w:rFonts w:ascii="宋体" w:hAnsi="宋体" w:eastAsia="宋体" w:cs="宋体"/>
          <w:b w:val="0"/>
          <w:bCs w:val="0"/>
          <w:color w:val="auto"/>
          <w:spacing w:val="2"/>
          <w:w w:val="100"/>
          <w:sz w:val="21"/>
          <w:szCs w:val="21"/>
        </w:rPr>
        <w:t>情</w:t>
      </w:r>
      <w:r>
        <w:rPr>
          <w:rFonts w:ascii="宋体" w:hAnsi="宋体" w:eastAsia="宋体" w:cs="宋体"/>
          <w:b w:val="0"/>
          <w:bCs w:val="0"/>
          <w:color w:val="auto"/>
          <w:spacing w:val="-1"/>
          <w:w w:val="100"/>
          <w:sz w:val="21"/>
          <w:szCs w:val="21"/>
        </w:rPr>
        <w:t>况</w:t>
      </w:r>
      <w:r>
        <w:rPr>
          <w:rFonts w:ascii="宋体" w:hAnsi="宋体" w:eastAsia="宋体" w:cs="宋体"/>
          <w:b w:val="0"/>
          <w:bCs w:val="0"/>
          <w:color w:val="auto"/>
          <w:spacing w:val="2"/>
          <w:w w:val="100"/>
          <w:sz w:val="21"/>
          <w:szCs w:val="21"/>
        </w:rPr>
        <w:t>，</w:t>
      </w:r>
      <w:r>
        <w:rPr>
          <w:rFonts w:ascii="宋体" w:hAnsi="宋体" w:eastAsia="宋体" w:cs="宋体"/>
          <w:b w:val="0"/>
          <w:bCs w:val="0"/>
          <w:color w:val="auto"/>
          <w:spacing w:val="-1"/>
          <w:w w:val="100"/>
          <w:sz w:val="21"/>
          <w:szCs w:val="21"/>
        </w:rPr>
        <w:t>均</w:t>
      </w:r>
      <w:r>
        <w:rPr>
          <w:rFonts w:ascii="宋体" w:hAnsi="宋体" w:eastAsia="宋体" w:cs="宋体"/>
          <w:b w:val="0"/>
          <w:bCs w:val="0"/>
          <w:color w:val="auto"/>
          <w:spacing w:val="2"/>
          <w:w w:val="100"/>
          <w:sz w:val="21"/>
          <w:szCs w:val="21"/>
        </w:rPr>
        <w:t>为</w:t>
      </w:r>
      <w:r>
        <w:rPr>
          <w:rFonts w:ascii="宋体" w:hAnsi="宋体" w:eastAsia="宋体" w:cs="宋体"/>
          <w:b w:val="0"/>
          <w:bCs w:val="0"/>
          <w:color w:val="auto"/>
          <w:spacing w:val="-1"/>
          <w:w w:val="100"/>
          <w:sz w:val="21"/>
          <w:szCs w:val="21"/>
        </w:rPr>
        <w:t>四</w:t>
      </w:r>
      <w:r>
        <w:rPr>
          <w:rFonts w:ascii="宋体" w:hAnsi="宋体" w:eastAsia="宋体" w:cs="宋体"/>
          <w:b w:val="0"/>
          <w:bCs w:val="0"/>
          <w:color w:val="auto"/>
          <w:spacing w:val="2"/>
          <w:w w:val="100"/>
          <w:sz w:val="21"/>
          <w:szCs w:val="21"/>
        </w:rPr>
        <w:t>舍</w:t>
      </w:r>
      <w:r>
        <w:rPr>
          <w:rFonts w:ascii="宋体" w:hAnsi="宋体" w:eastAsia="宋体" w:cs="宋体"/>
          <w:b w:val="0"/>
          <w:bCs w:val="0"/>
          <w:color w:val="auto"/>
          <w:spacing w:val="-1"/>
          <w:w w:val="100"/>
          <w:sz w:val="21"/>
          <w:szCs w:val="21"/>
        </w:rPr>
        <w:t>五</w:t>
      </w:r>
      <w:r>
        <w:rPr>
          <w:rFonts w:ascii="宋体" w:hAnsi="宋体" w:eastAsia="宋体" w:cs="宋体"/>
          <w:b w:val="0"/>
          <w:bCs w:val="0"/>
          <w:color w:val="auto"/>
          <w:spacing w:val="2"/>
          <w:w w:val="100"/>
          <w:sz w:val="21"/>
          <w:szCs w:val="21"/>
        </w:rPr>
        <w:t>入</w:t>
      </w:r>
      <w:r>
        <w:rPr>
          <w:rFonts w:ascii="宋体" w:hAnsi="宋体" w:eastAsia="宋体" w:cs="宋体"/>
          <w:b w:val="0"/>
          <w:bCs w:val="0"/>
          <w:color w:val="auto"/>
          <w:spacing w:val="-1"/>
          <w:w w:val="100"/>
          <w:sz w:val="21"/>
          <w:szCs w:val="21"/>
        </w:rPr>
        <w:t>原</w:t>
      </w:r>
      <w:r>
        <w:rPr>
          <w:rFonts w:ascii="宋体" w:hAnsi="宋体" w:eastAsia="宋体" w:cs="宋体"/>
          <w:b w:val="0"/>
          <w:bCs w:val="0"/>
          <w:color w:val="auto"/>
          <w:spacing w:val="2"/>
          <w:w w:val="100"/>
          <w:sz w:val="21"/>
          <w:szCs w:val="21"/>
        </w:rPr>
        <w:t>因</w:t>
      </w:r>
      <w:r>
        <w:rPr>
          <w:rFonts w:ascii="宋体" w:hAnsi="宋体" w:eastAsia="宋体" w:cs="宋体"/>
          <w:b w:val="0"/>
          <w:bCs w:val="0"/>
          <w:color w:val="auto"/>
          <w:spacing w:val="-1"/>
          <w:w w:val="100"/>
          <w:sz w:val="21"/>
          <w:szCs w:val="21"/>
        </w:rPr>
        <w:t>造</w:t>
      </w:r>
      <w:r>
        <w:rPr>
          <w:rFonts w:ascii="宋体" w:hAnsi="宋体" w:eastAsia="宋体" w:cs="宋体"/>
          <w:b w:val="0"/>
          <w:bCs w:val="0"/>
          <w:color w:val="auto"/>
          <w:spacing w:val="2"/>
          <w:w w:val="100"/>
          <w:sz w:val="21"/>
          <w:szCs w:val="21"/>
        </w:rPr>
        <w:t>成</w:t>
      </w:r>
      <w:r>
        <w:rPr>
          <w:rFonts w:ascii="宋体" w:hAnsi="宋体" w:eastAsia="宋体" w:cs="宋体"/>
          <w:b w:val="0"/>
          <w:bCs w:val="0"/>
          <w:color w:val="auto"/>
          <w:spacing w:val="0"/>
          <w:w w:val="100"/>
          <w:sz w:val="21"/>
          <w:szCs w:val="21"/>
        </w:rPr>
        <w:t>。</w:t>
      </w:r>
    </w:p>
    <w:p>
      <w:pPr>
        <w:spacing w:after="0" w:line="263" w:lineRule="exact"/>
        <w:jc w:val="left"/>
        <w:rPr>
          <w:rFonts w:ascii="宋体" w:hAnsi="宋体" w:eastAsia="宋体" w:cs="宋体"/>
          <w:b w:val="0"/>
          <w:bCs w:val="0"/>
          <w:color w:val="auto"/>
          <w:spacing w:val="0"/>
          <w:w w:val="100"/>
          <w:sz w:val="21"/>
          <w:szCs w:val="21"/>
        </w:rPr>
      </w:pPr>
    </w:p>
    <w:p>
      <w:pPr>
        <w:spacing w:after="0" w:line="263" w:lineRule="exact"/>
        <w:jc w:val="left"/>
        <w:rPr>
          <w:rFonts w:ascii="宋体" w:hAnsi="宋体" w:eastAsia="宋体" w:cs="宋体"/>
          <w:b w:val="0"/>
          <w:bCs w:val="0"/>
          <w:color w:val="auto"/>
          <w:spacing w:val="0"/>
          <w:w w:val="100"/>
          <w:sz w:val="21"/>
          <w:szCs w:val="21"/>
        </w:rPr>
        <w:sectPr>
          <w:pgSz w:w="11906" w:h="16840"/>
          <w:pgMar w:top="1560" w:right="1300" w:bottom="280" w:left="1420" w:header="720" w:footer="720" w:gutter="0"/>
        </w:sectPr>
      </w:pPr>
    </w:p>
    <w:p>
      <w:pPr>
        <w:pStyle w:val="4"/>
        <w:tabs>
          <w:tab w:val="left" w:pos="561"/>
        </w:tabs>
        <w:spacing w:line="381" w:lineRule="exact"/>
        <w:ind w:right="119"/>
        <w:jc w:val="center"/>
        <w:rPr>
          <w:b/>
          <w:bCs/>
          <w:color w:val="auto"/>
          <w:spacing w:val="0"/>
          <w:w w:val="100"/>
        </w:rPr>
      </w:pPr>
      <w:r>
        <w:rPr>
          <w:b/>
          <w:bCs/>
          <w:color w:val="auto"/>
          <w:spacing w:val="0"/>
          <w:w w:val="100"/>
        </w:rPr>
        <w:t>一、本次发行的基本情况</w:t>
      </w:r>
    </w:p>
    <w:p>
      <w:pPr>
        <w:spacing w:before="1" w:line="140" w:lineRule="exact"/>
        <w:rPr>
          <w:color w:val="auto"/>
          <w:sz w:val="14"/>
          <w:szCs w:val="14"/>
        </w:rPr>
      </w:pPr>
    </w:p>
    <w:p>
      <w:pPr>
        <w:spacing w:line="200" w:lineRule="exact"/>
        <w:rPr>
          <w:color w:val="auto"/>
          <w:sz w:val="20"/>
          <w:szCs w:val="20"/>
        </w:rPr>
      </w:pP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（一）基本情况</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中文名称：东营银行股份有限公司</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英文名称：DONGYING BANK Co.,LTD.</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所属行业：根据中国证监会《上市公司行业分类指引》（2012年修订），公司所处行业属于“J金融业—J66货币金融服务”；根据国民经济行业分类（GB/T4754-2017），公司所处行业属于J“金融业”之66“货币金融服务”之“6620货币银行服务”。</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经营范围：许可该机构经营中国银行监督委员会依照有关法律、行政法规和其他规定批准的业务，经营范围以批准文件所列的为准。(有效期限以许可证为准)。(依法须经批准的项目，经相关部门批准后方可开展经营活动)。</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发行前总股本（股）：3,</w:t>
      </w:r>
      <w:r>
        <w:rPr>
          <w:rFonts w:hint="eastAsia"/>
          <w:b w:val="0"/>
          <w:bCs w:val="0"/>
          <w:color w:val="auto"/>
          <w:spacing w:val="0"/>
          <w:w w:val="100"/>
          <w:lang w:val="en-US" w:eastAsia="zh-CN"/>
        </w:rPr>
        <w:t>667</w:t>
      </w:r>
      <w:r>
        <w:rPr>
          <w:rFonts w:hint="eastAsia"/>
          <w:b w:val="0"/>
          <w:bCs w:val="0"/>
          <w:color w:val="auto"/>
          <w:spacing w:val="0"/>
          <w:w w:val="100"/>
        </w:rPr>
        <w:t>,</w:t>
      </w:r>
      <w:r>
        <w:rPr>
          <w:rFonts w:hint="eastAsia"/>
          <w:b w:val="0"/>
          <w:bCs w:val="0"/>
          <w:color w:val="auto"/>
          <w:spacing w:val="0"/>
          <w:w w:val="100"/>
          <w:lang w:val="en-US" w:eastAsia="zh-CN"/>
        </w:rPr>
        <w:t>173</w:t>
      </w:r>
      <w:r>
        <w:rPr>
          <w:rFonts w:hint="eastAsia"/>
          <w:b w:val="0"/>
          <w:bCs w:val="0"/>
          <w:color w:val="auto"/>
          <w:spacing w:val="0"/>
          <w:w w:val="100"/>
        </w:rPr>
        <w:t>,</w:t>
      </w:r>
      <w:r>
        <w:rPr>
          <w:rFonts w:hint="eastAsia"/>
          <w:b w:val="0"/>
          <w:bCs w:val="0"/>
          <w:color w:val="auto"/>
          <w:spacing w:val="0"/>
          <w:w w:val="100"/>
          <w:lang w:val="en-US" w:eastAsia="zh-CN"/>
        </w:rPr>
        <w:t>975</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实际发行数量（股）：728,476,821</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发行后总股本（股）：4,395,650,796</w:t>
      </w:r>
    </w:p>
    <w:p>
      <w:pPr>
        <w:pStyle w:val="2"/>
        <w:spacing w:before="52" w:line="307" w:lineRule="auto"/>
        <w:ind w:left="111" w:right="106" w:firstLine="480"/>
        <w:jc w:val="both"/>
        <w:rPr>
          <w:rFonts w:hint="eastAsia"/>
          <w:b w:val="0"/>
          <w:bCs w:val="0"/>
          <w:color w:val="auto"/>
          <w:spacing w:val="0"/>
          <w:w w:val="100"/>
          <w:lang w:val="en-US" w:eastAsia="zh-CN"/>
        </w:rPr>
      </w:pPr>
      <w:r>
        <w:rPr>
          <w:rFonts w:hint="eastAsia"/>
          <w:b w:val="0"/>
          <w:bCs w:val="0"/>
          <w:color w:val="auto"/>
          <w:spacing w:val="0"/>
          <w:w w:val="100"/>
        </w:rPr>
        <w:t>发行价格（元）：3.0</w:t>
      </w:r>
      <w:r>
        <w:rPr>
          <w:rFonts w:hint="eastAsia"/>
          <w:b w:val="0"/>
          <w:bCs w:val="0"/>
          <w:color w:val="auto"/>
          <w:spacing w:val="0"/>
          <w:w w:val="100"/>
          <w:lang w:val="en-US" w:eastAsia="zh-CN"/>
        </w:rPr>
        <w:t>2</w:t>
      </w:r>
    </w:p>
    <w:p>
      <w:pPr>
        <w:pStyle w:val="2"/>
        <w:spacing w:before="52" w:line="307" w:lineRule="auto"/>
        <w:ind w:left="111" w:right="106" w:firstLine="480"/>
        <w:jc w:val="both"/>
        <w:rPr>
          <w:rFonts w:hint="eastAsia"/>
          <w:b w:val="0"/>
          <w:bCs w:val="0"/>
          <w:color w:val="auto"/>
          <w:spacing w:val="0"/>
          <w:w w:val="100"/>
          <w:lang w:val="en-US" w:eastAsia="zh-CN"/>
        </w:rPr>
      </w:pPr>
      <w:r>
        <w:rPr>
          <w:rFonts w:hint="eastAsia"/>
          <w:b w:val="0"/>
          <w:bCs w:val="0"/>
          <w:color w:val="auto"/>
          <w:spacing w:val="0"/>
          <w:w w:val="100"/>
        </w:rPr>
        <w:t>募集资金（元）：2,200,000,000.00</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发行后股东人数是否超200人：是</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本次发行符合《非上市公众公司监督管理办法》第四十八条的规定，不存在非现金资产认购、不会导致公司控制权发生变动、不存在特殊投资条款安排。</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（二）现有股东优先认购的情况</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根据本行现行章程、第五届董事会第十五次会议决议、2024年度第一次临时股东大会决议，本次发行不涉及现有股东的优先认购安排。</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（三）发行对象及认购情况</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本次发行对象共计</w:t>
      </w:r>
      <w:r>
        <w:rPr>
          <w:rFonts w:hint="eastAsia"/>
          <w:b w:val="0"/>
          <w:bCs w:val="0"/>
          <w:color w:val="auto"/>
          <w:spacing w:val="0"/>
          <w:w w:val="100"/>
          <w:lang w:val="en-US" w:eastAsia="zh-CN"/>
        </w:rPr>
        <w:t>1</w:t>
      </w:r>
      <w:r>
        <w:rPr>
          <w:rFonts w:hint="eastAsia"/>
          <w:b w:val="0"/>
          <w:bCs w:val="0"/>
          <w:color w:val="auto"/>
          <w:spacing w:val="0"/>
          <w:w w:val="100"/>
        </w:rPr>
        <w:t>名。具体认购情况如下：</w:t>
      </w:r>
    </w:p>
    <w:tbl>
      <w:tblPr>
        <w:tblStyle w:val="7"/>
        <w:tblW w:w="86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5"/>
        <w:gridCol w:w="2050"/>
        <w:gridCol w:w="1150"/>
        <w:gridCol w:w="1450"/>
        <w:gridCol w:w="1300"/>
        <w:gridCol w:w="1612"/>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发行对象</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发行对象类型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认购数量（股）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认购金额（元）</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认购方式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4"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东营市财政局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在册股东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非自然人投资者</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728,476,821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2,200,000,000.00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4"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合计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728,476,821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2,200,000,000.00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bl>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1、不存在委托持股、信托持股或其他代持股等情形；</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2、本次股票定向发行的发行对象不属于失信联合惩戒对象</w:t>
      </w:r>
      <w:r>
        <w:rPr>
          <w:rFonts w:hint="eastAsia"/>
          <w:b w:val="0"/>
          <w:bCs w:val="0"/>
          <w:color w:val="auto"/>
          <w:spacing w:val="0"/>
          <w:w w:val="100"/>
          <w:lang w:eastAsia="zh-CN"/>
        </w:rPr>
        <w:t>。</w:t>
      </w:r>
    </w:p>
    <w:p>
      <w:pPr>
        <w:pStyle w:val="2"/>
        <w:spacing w:before="52" w:line="307" w:lineRule="auto"/>
        <w:ind w:left="111" w:right="106" w:firstLine="480"/>
        <w:jc w:val="both"/>
        <w:rPr>
          <w:rFonts w:hint="eastAsia"/>
          <w:b w:val="0"/>
          <w:bCs w:val="0"/>
          <w:color w:val="auto"/>
          <w:spacing w:val="0"/>
          <w:w w:val="100"/>
        </w:rPr>
      </w:pPr>
    </w:p>
    <w:p>
      <w:pPr>
        <w:pStyle w:val="2"/>
        <w:spacing w:before="52" w:line="307" w:lineRule="auto"/>
        <w:ind w:left="111" w:right="106" w:firstLine="480"/>
        <w:jc w:val="both"/>
        <w:rPr>
          <w:rFonts w:hint="eastAsia"/>
          <w:b w:val="0"/>
          <w:bCs w:val="0"/>
          <w:color w:val="auto"/>
          <w:spacing w:val="0"/>
          <w:w w:val="100"/>
        </w:rPr>
        <w:sectPr>
          <w:pgSz w:w="11906" w:h="16840"/>
          <w:pgMar w:top="1560" w:right="1420" w:bottom="280" w:left="1420" w:header="720" w:footer="720" w:gutter="0"/>
        </w:sectPr>
      </w:pP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（四）实际募集资金未达到预计募集金额时的投入安排</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本次定向发行的募集资金2,200,000,000.00元，全部用于补充本行资本金，以提高资本充足率。</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（五）新增股票限售安排</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投资者增资入股后，若符合商业银行主要股东标准，其自取得股权之日起五年内不得转让所持有的股权。经金融监督管理总局或其派出机构批准采用风险处置措施、金融监督管理总局或其派出机构责令转让、涉及司法强制执行或者在同一控制人控制的不同主体之间转让股权等特殊情形除外。</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除以上限售安排外，投资者无自愿锁定安排。</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（六）募集资金专项账户的设立情况</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针对本次定向发行事宜，本行对募集资金进行专户管理。</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行在东营银行股份有限公司营业部开立募集资金专项账户用于本次股票发行募集资金的存储和管理，账户名称：“东营银行股份有限公司”，账户号码：“812161901421010999”，以规范募集资金管理，保护投资者合法权益。</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本行于202</w:t>
      </w:r>
      <w:r>
        <w:rPr>
          <w:rFonts w:hint="eastAsia"/>
          <w:b w:val="0"/>
          <w:bCs w:val="0"/>
          <w:color w:val="auto"/>
          <w:spacing w:val="0"/>
          <w:w w:val="100"/>
          <w:lang w:val="en-US" w:eastAsia="zh-CN"/>
        </w:rPr>
        <w:t>4</w:t>
      </w:r>
      <w:r>
        <w:rPr>
          <w:rFonts w:hint="eastAsia"/>
          <w:b w:val="0"/>
          <w:bCs w:val="0"/>
          <w:color w:val="auto"/>
          <w:spacing w:val="0"/>
          <w:w w:val="100"/>
        </w:rPr>
        <w:t>年</w:t>
      </w:r>
      <w:r>
        <w:rPr>
          <w:rFonts w:hint="eastAsia"/>
          <w:b w:val="0"/>
          <w:bCs w:val="0"/>
          <w:color w:val="auto"/>
          <w:spacing w:val="0"/>
          <w:w w:val="100"/>
          <w:lang w:val="en-US" w:eastAsia="zh-CN"/>
        </w:rPr>
        <w:t>11</w:t>
      </w:r>
      <w:r>
        <w:rPr>
          <w:rFonts w:hint="eastAsia"/>
          <w:b w:val="0"/>
          <w:bCs w:val="0"/>
          <w:color w:val="auto"/>
          <w:spacing w:val="0"/>
          <w:w w:val="100"/>
        </w:rPr>
        <w:t>月2</w:t>
      </w:r>
      <w:r>
        <w:rPr>
          <w:rFonts w:hint="eastAsia"/>
          <w:b w:val="0"/>
          <w:bCs w:val="0"/>
          <w:color w:val="auto"/>
          <w:spacing w:val="0"/>
          <w:w w:val="100"/>
          <w:lang w:val="en-US" w:eastAsia="zh-CN"/>
        </w:rPr>
        <w:t>1</w:t>
      </w:r>
      <w:r>
        <w:rPr>
          <w:rFonts w:hint="eastAsia"/>
          <w:b w:val="0"/>
          <w:bCs w:val="0"/>
          <w:color w:val="auto"/>
          <w:spacing w:val="0"/>
          <w:w w:val="100"/>
        </w:rPr>
        <w:t>日，相关募集资金已全部用于补充核心一级资本，其中728,476,821.00元计入实收资本，1,471,523,179.00元计入资本公积。</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（七）募集资金三方监管协议的签订情况</w:t>
      </w:r>
    </w:p>
    <w:p>
      <w:pPr>
        <w:pStyle w:val="2"/>
        <w:spacing w:before="52" w:line="307" w:lineRule="auto"/>
        <w:ind w:left="111" w:right="106" w:firstLine="480"/>
        <w:jc w:val="both"/>
        <w:rPr>
          <w:rFonts w:hint="eastAsia"/>
          <w:b w:val="0"/>
          <w:bCs w:val="0"/>
          <w:color w:val="auto"/>
          <w:spacing w:val="0"/>
          <w:w w:val="100"/>
        </w:rPr>
      </w:pPr>
      <w:r>
        <w:rPr>
          <w:rFonts w:hint="eastAsia"/>
          <w:b w:val="0"/>
          <w:bCs w:val="0"/>
          <w:color w:val="auto"/>
          <w:spacing w:val="0"/>
          <w:w w:val="100"/>
        </w:rPr>
        <w:t>本行并非新三板挂牌上市公司，不存在主办券商，募集资金三方监管协议不适用。</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（八）本次发行是否经中国证监会注册</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rPr>
      </w:pPr>
      <w:r>
        <w:rPr>
          <w:rFonts w:hint="eastAsia"/>
          <w:b w:val="0"/>
          <w:bCs w:val="0"/>
          <w:color w:val="auto"/>
          <w:spacing w:val="0"/>
          <w:w w:val="100"/>
        </w:rPr>
        <w:t>202</w:t>
      </w:r>
      <w:r>
        <w:rPr>
          <w:rFonts w:hint="eastAsia"/>
          <w:b w:val="0"/>
          <w:bCs w:val="0"/>
          <w:color w:val="auto"/>
          <w:spacing w:val="0"/>
          <w:w w:val="100"/>
          <w:lang w:val="en-US" w:eastAsia="zh-CN"/>
        </w:rPr>
        <w:t>4</w:t>
      </w:r>
      <w:r>
        <w:rPr>
          <w:rFonts w:hint="eastAsia"/>
          <w:b w:val="0"/>
          <w:bCs w:val="0"/>
          <w:color w:val="auto"/>
          <w:spacing w:val="0"/>
          <w:w w:val="100"/>
        </w:rPr>
        <w:t>年</w:t>
      </w:r>
      <w:r>
        <w:rPr>
          <w:rFonts w:hint="eastAsia"/>
          <w:b w:val="0"/>
          <w:bCs w:val="0"/>
          <w:color w:val="auto"/>
          <w:spacing w:val="0"/>
          <w:w w:val="100"/>
          <w:lang w:val="en-US" w:eastAsia="zh-CN"/>
        </w:rPr>
        <w:t>11</w:t>
      </w:r>
      <w:r>
        <w:rPr>
          <w:rFonts w:hint="eastAsia"/>
          <w:b w:val="0"/>
          <w:bCs w:val="0"/>
          <w:color w:val="auto"/>
          <w:spacing w:val="0"/>
          <w:w w:val="100"/>
        </w:rPr>
        <w:t>月</w:t>
      </w:r>
      <w:r>
        <w:rPr>
          <w:rFonts w:hint="eastAsia"/>
          <w:b w:val="0"/>
          <w:bCs w:val="0"/>
          <w:color w:val="auto"/>
          <w:spacing w:val="0"/>
          <w:w w:val="100"/>
          <w:lang w:val="en-US" w:eastAsia="zh-CN"/>
        </w:rPr>
        <w:t>4</w:t>
      </w:r>
      <w:r>
        <w:rPr>
          <w:rFonts w:hint="eastAsia"/>
          <w:b w:val="0"/>
          <w:bCs w:val="0"/>
          <w:color w:val="auto"/>
          <w:spacing w:val="0"/>
          <w:w w:val="100"/>
        </w:rPr>
        <w:t>日，中国证监会出具《关于</w:t>
      </w:r>
      <w:r>
        <w:rPr>
          <w:rFonts w:hint="eastAsia"/>
          <w:b w:val="0"/>
          <w:bCs w:val="0"/>
          <w:color w:val="auto"/>
          <w:spacing w:val="0"/>
          <w:w w:val="100"/>
          <w:lang w:eastAsia="zh-CN"/>
        </w:rPr>
        <w:t>同意</w:t>
      </w:r>
      <w:r>
        <w:rPr>
          <w:rFonts w:hint="eastAsia"/>
          <w:b w:val="0"/>
          <w:bCs w:val="0"/>
          <w:color w:val="auto"/>
          <w:spacing w:val="0"/>
          <w:w w:val="100"/>
        </w:rPr>
        <w:t>东营银行股份有限公司</w:t>
      </w:r>
      <w:r>
        <w:rPr>
          <w:rFonts w:hint="eastAsia"/>
          <w:b w:val="0"/>
          <w:bCs w:val="0"/>
          <w:color w:val="auto"/>
          <w:spacing w:val="0"/>
          <w:w w:val="100"/>
          <w:lang w:eastAsia="zh-CN"/>
        </w:rPr>
        <w:t>向特定对象</w:t>
      </w:r>
      <w:r>
        <w:rPr>
          <w:rFonts w:hint="eastAsia"/>
          <w:b w:val="0"/>
          <w:bCs w:val="0"/>
          <w:color w:val="auto"/>
          <w:spacing w:val="0"/>
          <w:w w:val="100"/>
        </w:rPr>
        <w:t>发行股票</w:t>
      </w:r>
      <w:r>
        <w:rPr>
          <w:rFonts w:hint="eastAsia"/>
          <w:b w:val="0"/>
          <w:bCs w:val="0"/>
          <w:color w:val="auto"/>
          <w:spacing w:val="0"/>
          <w:w w:val="100"/>
          <w:lang w:eastAsia="zh-CN"/>
        </w:rPr>
        <w:t>注册</w:t>
      </w:r>
      <w:r>
        <w:rPr>
          <w:rFonts w:hint="eastAsia"/>
          <w:b w:val="0"/>
          <w:bCs w:val="0"/>
          <w:color w:val="auto"/>
          <w:spacing w:val="0"/>
          <w:w w:val="100"/>
        </w:rPr>
        <w:t>的批复》（证监许可〔202</w:t>
      </w:r>
      <w:r>
        <w:rPr>
          <w:rFonts w:hint="eastAsia"/>
          <w:b w:val="0"/>
          <w:bCs w:val="0"/>
          <w:color w:val="auto"/>
          <w:spacing w:val="0"/>
          <w:w w:val="100"/>
          <w:lang w:val="en-US" w:eastAsia="zh-CN"/>
        </w:rPr>
        <w:t>4</w:t>
      </w:r>
      <w:r>
        <w:rPr>
          <w:rFonts w:hint="eastAsia"/>
          <w:b w:val="0"/>
          <w:bCs w:val="0"/>
          <w:color w:val="auto"/>
          <w:spacing w:val="0"/>
          <w:w w:val="100"/>
        </w:rPr>
        <w:t>〕</w:t>
      </w:r>
      <w:r>
        <w:rPr>
          <w:rFonts w:hint="eastAsia"/>
          <w:b w:val="0"/>
          <w:bCs w:val="0"/>
          <w:color w:val="auto"/>
          <w:spacing w:val="0"/>
          <w:w w:val="100"/>
          <w:lang w:val="en-US" w:eastAsia="zh-CN"/>
        </w:rPr>
        <w:t>1554</w:t>
      </w:r>
      <w:r>
        <w:rPr>
          <w:rFonts w:hint="eastAsia"/>
          <w:b w:val="0"/>
          <w:bCs w:val="0"/>
          <w:color w:val="auto"/>
          <w:spacing w:val="0"/>
          <w:w w:val="100"/>
        </w:rPr>
        <w:t>号），同意本行</w:t>
      </w:r>
      <w:r>
        <w:rPr>
          <w:rFonts w:hint="eastAsia"/>
          <w:b w:val="0"/>
          <w:bCs w:val="0"/>
          <w:color w:val="auto"/>
          <w:spacing w:val="0"/>
          <w:w w:val="100"/>
          <w:lang w:eastAsia="zh-CN"/>
        </w:rPr>
        <w:t>向特定对象发行股票的注册申请</w:t>
      </w:r>
      <w:r>
        <w:rPr>
          <w:rFonts w:hint="eastAsia"/>
          <w:b w:val="0"/>
          <w:bCs w:val="0"/>
          <w:color w:val="auto"/>
          <w:spacing w:val="0"/>
          <w:w w:val="100"/>
        </w:rPr>
        <w:t>。</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（九）本次发行涉及的国资、外资等相关主管机关核准、登记、备案等程序</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1.东营市财政局审批及核准</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rPr>
      </w:pPr>
      <w:r>
        <w:rPr>
          <w:rFonts w:hint="eastAsia"/>
          <w:b w:val="0"/>
          <w:bCs w:val="0"/>
          <w:color w:val="auto"/>
          <w:spacing w:val="0"/>
          <w:w w:val="100"/>
        </w:rPr>
        <w:t>2024年6月27日，东营市财政局对本行出具了《东营市财政局关于东营银行2024年增资扩股的批复》（东财发〔2024〕22号），同意本行东营银行2024年度增资扩股方案。</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rPr>
      </w:pPr>
      <w:r>
        <w:rPr>
          <w:rFonts w:hint="eastAsia"/>
          <w:b w:val="0"/>
          <w:bCs w:val="0"/>
          <w:color w:val="auto"/>
          <w:spacing w:val="0"/>
          <w:w w:val="100"/>
        </w:rPr>
        <w:t>根据《金融企业国有资产评估监督管理暂行办法》及《财政部关于金融企业国有资产评估监督管理有关问题的通知》，2024年7月16日，本行向东营市财政局提交了《金融企业资产评估项目核准表》，2024年7月18日，经过东营市财政局核准，向本行出具了《东营银行资产评估项目核准告知书》（东财发〔2024〕25号）。</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2.银行业监督管理部门审批</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根据《商业银行股权管理暂行办法》《中国银保监会中资商业银行行政许可事项实施办法》《关于股东人数超过200人的未上市商业银行增发股份有关问题的通知》等相关规定，本次定向发行应当由山东金融监管局审查并决定。</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2024年8月8日，国家金融监督管理总局山东监管局出具了《山东金融监管局关于核准东营银行增资扩股方案的批复》（鲁金复〔2024〕262号），同意东营银行本次发行的方案，募集股份不超过7.3亿股。</w:t>
      </w:r>
    </w:p>
    <w:p>
      <w:pPr>
        <w:spacing w:after="0" w:line="307" w:lineRule="auto"/>
        <w:jc w:val="both"/>
        <w:rPr>
          <w:color w:val="auto"/>
        </w:rPr>
      </w:pPr>
    </w:p>
    <w:p>
      <w:pPr>
        <w:spacing w:after="0" w:line="307" w:lineRule="auto"/>
        <w:jc w:val="both"/>
        <w:rPr>
          <w:color w:val="auto"/>
        </w:rPr>
        <w:sectPr>
          <w:pgSz w:w="11906" w:h="16840"/>
          <w:pgMar w:top="1560" w:right="1420" w:bottom="280" w:left="1320" w:header="720" w:footer="720" w:gutter="0"/>
        </w:sectPr>
      </w:pPr>
    </w:p>
    <w:p>
      <w:pPr>
        <w:pStyle w:val="4"/>
        <w:tabs>
          <w:tab w:val="left" w:pos="561"/>
        </w:tabs>
        <w:spacing w:line="381" w:lineRule="exact"/>
        <w:ind w:right="119"/>
        <w:jc w:val="center"/>
        <w:rPr>
          <w:b/>
          <w:bCs/>
          <w:color w:val="auto"/>
          <w:spacing w:val="0"/>
          <w:w w:val="100"/>
        </w:rPr>
      </w:pPr>
      <w:r>
        <w:rPr>
          <w:rFonts w:hint="eastAsia"/>
          <w:b/>
          <w:bCs/>
          <w:color w:val="auto"/>
          <w:spacing w:val="0"/>
          <w:w w:val="100"/>
        </w:rPr>
        <w:t>二、发行前后相关情况对比</w:t>
      </w:r>
    </w:p>
    <w:p>
      <w:pPr>
        <w:spacing w:before="1" w:line="140" w:lineRule="exact"/>
        <w:rPr>
          <w:color w:val="auto"/>
          <w:sz w:val="14"/>
          <w:szCs w:val="14"/>
        </w:rPr>
      </w:pPr>
    </w:p>
    <w:p>
      <w:pPr>
        <w:spacing w:line="200" w:lineRule="exact"/>
        <w:rPr>
          <w:color w:val="auto"/>
          <w:sz w:val="20"/>
          <w:szCs w:val="20"/>
        </w:rPr>
      </w:pP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（一）发行前后前十名股东持股数量、持股比例及股票限售等比较情况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1.本次发行前，前十名股东持股数量、持股比例及股票限售情况</w:t>
      </w:r>
    </w:p>
    <w:tbl>
      <w:tblPr>
        <w:tblStyle w:val="7"/>
        <w:tblW w:w="8720" w:type="dxa"/>
        <w:tblInd w:w="98" w:type="dxa"/>
        <w:tblLayout w:type="fixed"/>
        <w:tblCellMar>
          <w:top w:w="0" w:type="dxa"/>
          <w:left w:w="0" w:type="dxa"/>
          <w:bottom w:w="0" w:type="dxa"/>
          <w:right w:w="0" w:type="dxa"/>
        </w:tblCellMar>
      </w:tblPr>
      <w:tblGrid>
        <w:gridCol w:w="629"/>
        <w:gridCol w:w="3714"/>
        <w:gridCol w:w="1435"/>
        <w:gridCol w:w="1198"/>
        <w:gridCol w:w="1744"/>
      </w:tblGrid>
      <w:tr>
        <w:tblPrEx>
          <w:tblLayout w:type="fixed"/>
          <w:tblCellMar>
            <w:top w:w="0" w:type="dxa"/>
            <w:left w:w="0" w:type="dxa"/>
            <w:bottom w:w="0" w:type="dxa"/>
            <w:right w:w="0" w:type="dxa"/>
          </w:tblCellMar>
        </w:tblPrEx>
        <w:trPr>
          <w:trHeight w:val="555"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line="241" w:lineRule="exact"/>
              <w:ind w:left="156" w:right="0"/>
              <w:jc w:val="left"/>
              <w:rPr>
                <w:rFonts w:ascii="宋体" w:hAnsi="宋体" w:eastAsia="宋体" w:cs="宋体"/>
                <w:color w:val="auto"/>
                <w:sz w:val="18"/>
                <w:szCs w:val="18"/>
              </w:rPr>
            </w:pPr>
            <w:r>
              <w:rPr>
                <w:rFonts w:ascii="宋体" w:hAnsi="宋体" w:eastAsia="宋体" w:cs="宋体"/>
                <w:b w:val="0"/>
                <w:bCs w:val="0"/>
                <w:color w:val="auto"/>
                <w:spacing w:val="0"/>
                <w:w w:val="100"/>
                <w:sz w:val="18"/>
                <w:szCs w:val="18"/>
              </w:rPr>
              <w:t>序</w:t>
            </w:r>
          </w:p>
          <w:p>
            <w:pPr>
              <w:pStyle w:val="10"/>
              <w:spacing w:line="271" w:lineRule="exact"/>
              <w:ind w:left="156" w:right="0"/>
              <w:jc w:val="left"/>
              <w:rPr>
                <w:rFonts w:ascii="宋体" w:hAnsi="宋体" w:eastAsia="宋体" w:cs="宋体"/>
                <w:color w:val="auto"/>
                <w:sz w:val="18"/>
                <w:szCs w:val="18"/>
              </w:rPr>
            </w:pPr>
            <w:r>
              <w:rPr>
                <w:rFonts w:ascii="宋体" w:hAnsi="宋体" w:eastAsia="宋体" w:cs="宋体"/>
                <w:b w:val="0"/>
                <w:bCs w:val="0"/>
                <w:color w:val="auto"/>
                <w:spacing w:val="0"/>
                <w:w w:val="100"/>
                <w:sz w:val="18"/>
                <w:szCs w:val="18"/>
              </w:rPr>
              <w:t>号</w:t>
            </w:r>
          </w:p>
        </w:tc>
        <w:tc>
          <w:tcPr>
            <w:tcW w:w="3714" w:type="dxa"/>
            <w:tcBorders>
              <w:top w:val="single" w:color="000000" w:sz="4" w:space="0"/>
              <w:left w:val="single" w:color="000000" w:sz="4" w:space="0"/>
              <w:bottom w:val="single" w:color="000000" w:sz="4" w:space="0"/>
              <w:right w:val="single" w:color="000000" w:sz="4" w:space="0"/>
            </w:tcBorders>
          </w:tcPr>
          <w:p>
            <w:pPr>
              <w:pStyle w:val="10"/>
              <w:spacing w:before="66"/>
              <w:ind w:left="1458" w:right="1456"/>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股东名</w:t>
            </w:r>
            <w:r>
              <w:rPr>
                <w:rFonts w:ascii="宋体" w:hAnsi="宋体" w:eastAsia="宋体" w:cs="宋体"/>
                <w:b w:val="0"/>
                <w:bCs w:val="0"/>
                <w:color w:val="auto"/>
                <w:spacing w:val="0"/>
                <w:w w:val="100"/>
                <w:sz w:val="18"/>
                <w:szCs w:val="18"/>
              </w:rPr>
              <w:t>称</w:t>
            </w:r>
          </w:p>
        </w:tc>
        <w:tc>
          <w:tcPr>
            <w:tcW w:w="1435" w:type="dxa"/>
            <w:tcBorders>
              <w:top w:val="single" w:color="000000" w:sz="4" w:space="0"/>
              <w:left w:val="single" w:color="000000" w:sz="4" w:space="0"/>
              <w:bottom w:val="single" w:color="000000" w:sz="4" w:space="0"/>
              <w:right w:val="single" w:color="000000" w:sz="4" w:space="0"/>
            </w:tcBorders>
          </w:tcPr>
          <w:p>
            <w:pPr>
              <w:pStyle w:val="10"/>
              <w:spacing w:line="241" w:lineRule="exact"/>
              <w:ind w:left="270" w:right="27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持股数</w:t>
            </w:r>
            <w:r>
              <w:rPr>
                <w:rFonts w:ascii="宋体" w:hAnsi="宋体" w:eastAsia="宋体" w:cs="宋体"/>
                <w:b w:val="0"/>
                <w:bCs w:val="0"/>
                <w:color w:val="auto"/>
                <w:spacing w:val="0"/>
                <w:w w:val="100"/>
                <w:sz w:val="18"/>
                <w:szCs w:val="18"/>
              </w:rPr>
              <w:t>量</w:t>
            </w:r>
          </w:p>
          <w:p>
            <w:pPr>
              <w:pStyle w:val="10"/>
              <w:spacing w:line="271" w:lineRule="exact"/>
              <w:ind w:left="376" w:right="376"/>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（股</w:t>
            </w:r>
            <w:r>
              <w:rPr>
                <w:rFonts w:ascii="宋体" w:hAnsi="宋体" w:eastAsia="宋体" w:cs="宋体"/>
                <w:b w:val="0"/>
                <w:bCs w:val="0"/>
                <w:color w:val="auto"/>
                <w:spacing w:val="0"/>
                <w:w w:val="100"/>
                <w:sz w:val="18"/>
                <w:szCs w:val="18"/>
              </w:rPr>
              <w:t>）</w:t>
            </w:r>
          </w:p>
        </w:tc>
        <w:tc>
          <w:tcPr>
            <w:tcW w:w="1198" w:type="dxa"/>
            <w:tcBorders>
              <w:top w:val="single" w:color="000000" w:sz="4" w:space="0"/>
              <w:left w:val="single" w:color="000000" w:sz="4" w:space="0"/>
              <w:bottom w:val="single" w:color="000000" w:sz="4" w:space="0"/>
              <w:right w:val="single" w:color="000000" w:sz="4" w:space="0"/>
            </w:tcBorders>
          </w:tcPr>
          <w:p>
            <w:pPr>
              <w:pStyle w:val="10"/>
              <w:spacing w:line="241" w:lineRule="exact"/>
              <w:ind w:left="153" w:right="15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持股比</w:t>
            </w:r>
            <w:r>
              <w:rPr>
                <w:rFonts w:ascii="宋体" w:hAnsi="宋体" w:eastAsia="宋体" w:cs="宋体"/>
                <w:b w:val="0"/>
                <w:bCs w:val="0"/>
                <w:color w:val="auto"/>
                <w:spacing w:val="0"/>
                <w:w w:val="100"/>
                <w:sz w:val="18"/>
                <w:szCs w:val="18"/>
              </w:rPr>
              <w:t>例</w:t>
            </w:r>
          </w:p>
          <w:p>
            <w:pPr>
              <w:pStyle w:val="10"/>
              <w:spacing w:line="287" w:lineRule="exact"/>
              <w:ind w:left="259" w:right="259"/>
              <w:jc w:val="center"/>
              <w:rPr>
                <w:rFonts w:ascii="宋体" w:hAnsi="宋体" w:eastAsia="宋体" w:cs="宋体"/>
                <w:color w:val="auto"/>
                <w:sz w:val="18"/>
                <w:szCs w:val="18"/>
              </w:rPr>
            </w:pPr>
            <w:r>
              <w:rPr>
                <w:rFonts w:ascii="宋体" w:hAnsi="宋体" w:eastAsia="宋体" w:cs="宋体"/>
                <w:b w:val="0"/>
                <w:bCs w:val="0"/>
                <w:color w:val="auto"/>
                <w:spacing w:val="-1"/>
                <w:w w:val="100"/>
                <w:sz w:val="18"/>
                <w:szCs w:val="18"/>
              </w:rPr>
              <w:t>（</w:t>
            </w:r>
            <w:r>
              <w:rPr>
                <w:rFonts w:ascii="Times New Roman" w:hAnsi="Times New Roman" w:eastAsia="Times New Roman" w:cs="Times New Roman"/>
                <w:b/>
                <w:bCs/>
                <w:color w:val="auto"/>
                <w:spacing w:val="2"/>
                <w:w w:val="100"/>
                <w:sz w:val="18"/>
                <w:szCs w:val="18"/>
              </w:rPr>
              <w:t>%</w:t>
            </w:r>
            <w:r>
              <w:rPr>
                <w:rFonts w:ascii="宋体" w:hAnsi="宋体" w:eastAsia="宋体" w:cs="宋体"/>
                <w:b w:val="0"/>
                <w:bCs w:val="0"/>
                <w:color w:val="auto"/>
                <w:spacing w:val="0"/>
                <w:w w:val="100"/>
                <w:sz w:val="18"/>
                <w:szCs w:val="18"/>
              </w:rPr>
              <w:t>）</w:t>
            </w:r>
          </w:p>
        </w:tc>
        <w:tc>
          <w:tcPr>
            <w:tcW w:w="1744" w:type="dxa"/>
            <w:tcBorders>
              <w:top w:val="single" w:color="000000" w:sz="4" w:space="0"/>
              <w:left w:val="single" w:color="000000" w:sz="4" w:space="0"/>
              <w:bottom w:val="single" w:color="000000" w:sz="4" w:space="0"/>
              <w:right w:val="single" w:color="000000" w:sz="4" w:space="0"/>
            </w:tcBorders>
          </w:tcPr>
          <w:p>
            <w:pPr>
              <w:pStyle w:val="10"/>
              <w:spacing w:before="66"/>
              <w:ind w:left="133" w:right="0"/>
              <w:jc w:val="left"/>
              <w:rPr>
                <w:rFonts w:ascii="宋体" w:hAnsi="宋体" w:eastAsia="宋体" w:cs="宋体"/>
                <w:color w:val="auto"/>
                <w:sz w:val="18"/>
                <w:szCs w:val="18"/>
              </w:rPr>
            </w:pPr>
            <w:r>
              <w:rPr>
                <w:rFonts w:ascii="宋体" w:hAnsi="宋体" w:eastAsia="宋体" w:cs="宋体"/>
                <w:b w:val="0"/>
                <w:bCs w:val="0"/>
                <w:color w:val="auto"/>
                <w:spacing w:val="2"/>
                <w:w w:val="100"/>
                <w:sz w:val="18"/>
                <w:szCs w:val="18"/>
              </w:rPr>
              <w:t>限售股</w:t>
            </w:r>
            <w:r>
              <w:rPr>
                <w:rFonts w:ascii="宋体" w:hAnsi="宋体" w:eastAsia="宋体" w:cs="宋体"/>
                <w:b w:val="0"/>
                <w:bCs w:val="0"/>
                <w:color w:val="auto"/>
                <w:spacing w:val="-1"/>
                <w:w w:val="100"/>
                <w:sz w:val="18"/>
                <w:szCs w:val="18"/>
              </w:rPr>
              <w:t>数</w:t>
            </w:r>
            <w:r>
              <w:rPr>
                <w:rFonts w:ascii="宋体" w:hAnsi="宋体" w:eastAsia="宋体" w:cs="宋体"/>
                <w:b w:val="0"/>
                <w:bCs w:val="0"/>
                <w:color w:val="auto"/>
                <w:spacing w:val="2"/>
                <w:w w:val="100"/>
                <w:sz w:val="18"/>
                <w:szCs w:val="18"/>
              </w:rPr>
              <w:t>（股</w:t>
            </w:r>
            <w:r>
              <w:rPr>
                <w:rFonts w:ascii="宋体" w:hAnsi="宋体" w:eastAsia="宋体" w:cs="宋体"/>
                <w:b w:val="0"/>
                <w:bCs w:val="0"/>
                <w:color w:val="auto"/>
                <w:spacing w:val="0"/>
                <w:w w:val="100"/>
                <w:sz w:val="18"/>
                <w:szCs w:val="18"/>
              </w:rPr>
              <w:t>）</w:t>
            </w: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1</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东营市财政局</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422,371,145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11.5176%</w:t>
            </w:r>
          </w:p>
        </w:tc>
        <w:tc>
          <w:tcPr>
            <w:tcW w:w="1744" w:type="dxa"/>
            <w:vMerge w:val="restart"/>
            <w:tcBorders>
              <w:top w:val="single" w:color="000000" w:sz="4" w:space="0"/>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本行非新三板挂牌公司，不适用</w:t>
            </w:r>
            <w:r>
              <w:rPr>
                <w:rFonts w:hint="eastAsia" w:ascii="Times New Roman" w:hAnsi="Times New Roman" w:eastAsia="Times New Roman" w:cs="Times New Roman"/>
                <w:b w:val="0"/>
                <w:bCs w:val="0"/>
                <w:color w:val="auto"/>
                <w:spacing w:val="0"/>
                <w:w w:val="100"/>
                <w:sz w:val="18"/>
                <w:szCs w:val="18"/>
                <w:lang w:val="en-US" w:eastAsia="zh-CN"/>
              </w:rPr>
              <w:t>。</w:t>
            </w: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2</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东营区财金投资发展有限责任公司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310,058,518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8.4550%</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3"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3</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山东鑫都置业有限公司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180,461,300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4.9210%</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4</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东营华联石油化工厂有限公司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163,738,474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4.4650%</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5</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东营市东凯产业投资管理有限公司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1</w:t>
            </w:r>
            <w:bookmarkStart w:id="0" w:name="_GoBack"/>
            <w:bookmarkEnd w:id="0"/>
            <w:r>
              <w:rPr>
                <w:rFonts w:hint="default" w:ascii="Times New Roman" w:hAnsi="Times New Roman" w:eastAsia="Times New Roman" w:cs="Times New Roman"/>
                <w:b w:val="0"/>
                <w:bCs w:val="0"/>
                <w:color w:val="auto"/>
                <w:spacing w:val="0"/>
                <w:w w:val="100"/>
                <w:sz w:val="18"/>
                <w:szCs w:val="18"/>
                <w:lang w:val="en-US" w:eastAsia="zh-CN"/>
              </w:rPr>
              <w:t xml:space="preserve">61,764,851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4.4112%</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3"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6</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广饶县经济发展投资集团有限公司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160,000,000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4.3630%</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7</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山东金达源集团有限公司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146,435,692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3.9931%</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8</w:t>
            </w:r>
          </w:p>
        </w:tc>
        <w:tc>
          <w:tcPr>
            <w:tcW w:w="3714" w:type="dxa"/>
            <w:tcBorders>
              <w:top w:val="single" w:color="000000" w:sz="4" w:space="0"/>
              <w:left w:val="single" w:color="000000" w:sz="4" w:space="0"/>
              <w:bottom w:val="single" w:color="000000" w:sz="4" w:space="0"/>
              <w:right w:val="single" w:color="000000" w:sz="4" w:space="0"/>
            </w:tcBorders>
            <w:textDirection w:val="lrTb"/>
            <w:vAlign w:val="bottom"/>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东营市河口区财金投资集团有限公司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130,000,000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3.5450%</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3"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9</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山东宏盈信石油化工有限公司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104,192,135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2.8412%</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629"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10</w:t>
            </w:r>
          </w:p>
        </w:tc>
        <w:tc>
          <w:tcPr>
            <w:tcW w:w="3714"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东营市河口区城市建设投资集团有限公司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102,242,959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r>
              <w:rPr>
                <w:rFonts w:hint="default" w:ascii="Times New Roman" w:hAnsi="Times New Roman" w:eastAsia="Times New Roman" w:cs="Times New Roman"/>
                <w:b w:val="0"/>
                <w:bCs w:val="0"/>
                <w:color w:val="auto"/>
                <w:spacing w:val="0"/>
                <w:w w:val="100"/>
                <w:sz w:val="18"/>
                <w:szCs w:val="18"/>
                <w:lang w:val="en-US" w:eastAsia="zh-CN"/>
              </w:rPr>
              <w:t>2.7881%</w:t>
            </w:r>
          </w:p>
        </w:tc>
        <w:tc>
          <w:tcPr>
            <w:tcW w:w="1744" w:type="dxa"/>
            <w:vMerge w:val="continue"/>
            <w:tcBorders>
              <w:left w:val="single" w:color="000000" w:sz="4" w:space="0"/>
              <w:right w:val="single" w:color="000000" w:sz="4" w:space="0"/>
            </w:tcBorders>
          </w:tcPr>
          <w:p>
            <w:pPr>
              <w:pStyle w:val="10"/>
              <w:spacing w:before="15"/>
              <w:ind w:left="189" w:right="191"/>
              <w:jc w:val="center"/>
              <w:rPr>
                <w:rFonts w:hint="default" w:ascii="Times New Roman" w:hAnsi="Times New Roman" w:eastAsia="Times New Roman" w:cs="Times New Roman"/>
                <w:b w:val="0"/>
                <w:bCs w:val="0"/>
                <w:color w:val="auto"/>
                <w:spacing w:val="0"/>
                <w:w w:val="100"/>
                <w:sz w:val="18"/>
                <w:szCs w:val="18"/>
                <w:lang w:val="en-US" w:eastAsia="zh-CN"/>
              </w:rPr>
            </w:pPr>
          </w:p>
        </w:tc>
      </w:tr>
      <w:tr>
        <w:tblPrEx>
          <w:tblLayout w:type="fixed"/>
          <w:tblCellMar>
            <w:top w:w="0" w:type="dxa"/>
            <w:left w:w="0" w:type="dxa"/>
            <w:bottom w:w="0" w:type="dxa"/>
            <w:right w:w="0" w:type="dxa"/>
          </w:tblCellMar>
        </w:tblPrEx>
        <w:trPr>
          <w:trHeight w:val="282" w:hRule="exact"/>
        </w:trPr>
        <w:tc>
          <w:tcPr>
            <w:tcW w:w="4343" w:type="dxa"/>
            <w:gridSpan w:val="2"/>
            <w:tcBorders>
              <w:top w:val="single" w:color="000000" w:sz="4" w:space="0"/>
              <w:left w:val="single" w:color="000000" w:sz="4" w:space="0"/>
              <w:bottom w:val="single" w:color="000000" w:sz="4" w:space="0"/>
              <w:right w:val="single" w:color="000000" w:sz="4" w:space="0"/>
            </w:tcBorders>
          </w:tcPr>
          <w:p>
            <w:pPr>
              <w:pStyle w:val="10"/>
              <w:spacing w:line="240" w:lineRule="exact"/>
              <w:ind w:left="1936" w:right="1936"/>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合</w:t>
            </w:r>
            <w:r>
              <w:rPr>
                <w:rFonts w:ascii="宋体" w:hAnsi="宋体" w:eastAsia="宋体" w:cs="宋体"/>
                <w:b w:val="0"/>
                <w:bCs w:val="0"/>
                <w:color w:val="auto"/>
                <w:spacing w:val="0"/>
                <w:w w:val="100"/>
                <w:sz w:val="18"/>
                <w:szCs w:val="18"/>
              </w:rPr>
              <w:t>计</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ascii="Times New Roman" w:hAnsi="Times New Roman" w:eastAsia="Times New Roman" w:cs="Times New Roman"/>
                <w:color w:val="auto"/>
                <w:sz w:val="18"/>
                <w:szCs w:val="18"/>
              </w:rPr>
            </w:pPr>
            <w:r>
              <w:rPr>
                <w:rFonts w:hint="default" w:ascii="Times New Roman" w:hAnsi="Times New Roman" w:eastAsia="Times New Roman" w:cs="Times New Roman"/>
                <w:b w:val="0"/>
                <w:bCs w:val="0"/>
                <w:color w:val="auto"/>
                <w:spacing w:val="0"/>
                <w:w w:val="100"/>
                <w:sz w:val="18"/>
                <w:szCs w:val="18"/>
                <w:lang w:val="en-US" w:eastAsia="zh-CN" w:bidi="ar-SA"/>
              </w:rPr>
              <w:t xml:space="preserve">1,881,265,074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Times New Roman" w:cs="Times New Roman"/>
                <w:b w:val="0"/>
                <w:bCs w:val="0"/>
                <w:color w:val="auto"/>
                <w:spacing w:val="0"/>
                <w:w w:val="100"/>
                <w:sz w:val="18"/>
                <w:szCs w:val="18"/>
                <w:lang w:val="en-US" w:eastAsia="zh-CN" w:bidi="ar-SA"/>
              </w:rPr>
            </w:pPr>
            <w:r>
              <w:rPr>
                <w:rFonts w:hint="default" w:ascii="Times New Roman" w:hAnsi="Times New Roman" w:eastAsia="Times New Roman" w:cs="Times New Roman"/>
                <w:b w:val="0"/>
                <w:bCs w:val="0"/>
                <w:color w:val="auto"/>
                <w:spacing w:val="0"/>
                <w:w w:val="100"/>
                <w:sz w:val="18"/>
                <w:szCs w:val="18"/>
                <w:lang w:val="en-US" w:eastAsia="zh-CN" w:bidi="ar-SA"/>
              </w:rPr>
              <w:t>51.3001%</w:t>
            </w:r>
          </w:p>
        </w:tc>
        <w:tc>
          <w:tcPr>
            <w:tcW w:w="1744" w:type="dxa"/>
            <w:vMerge w:val="continue"/>
            <w:tcBorders>
              <w:left w:val="single" w:color="000000" w:sz="4" w:space="0"/>
              <w:bottom w:val="single" w:color="000000" w:sz="4" w:space="0"/>
              <w:right w:val="single" w:color="000000" w:sz="4" w:space="0"/>
            </w:tcBorders>
          </w:tcPr>
          <w:p>
            <w:pPr>
              <w:rPr>
                <w:rFonts w:hint="default" w:ascii="Times New Roman" w:hAnsi="Times New Roman" w:eastAsia="Times New Roman" w:cs="Times New Roman"/>
                <w:b w:val="0"/>
                <w:bCs w:val="0"/>
                <w:color w:val="auto"/>
                <w:spacing w:val="0"/>
                <w:w w:val="100"/>
                <w:sz w:val="18"/>
                <w:szCs w:val="18"/>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2.本次发行后，前十名股东持股数量、持股比例及股票限售情况</w:t>
      </w:r>
    </w:p>
    <w:tbl>
      <w:tblPr>
        <w:tblStyle w:val="7"/>
        <w:tblW w:w="8720" w:type="dxa"/>
        <w:tblInd w:w="98" w:type="dxa"/>
        <w:tblLayout w:type="fixed"/>
        <w:tblCellMar>
          <w:top w:w="0" w:type="dxa"/>
          <w:left w:w="0" w:type="dxa"/>
          <w:bottom w:w="0" w:type="dxa"/>
          <w:right w:w="0" w:type="dxa"/>
        </w:tblCellMar>
      </w:tblPr>
      <w:tblGrid>
        <w:gridCol w:w="641"/>
        <w:gridCol w:w="3702"/>
        <w:gridCol w:w="1435"/>
        <w:gridCol w:w="1198"/>
        <w:gridCol w:w="1744"/>
      </w:tblGrid>
      <w:tr>
        <w:tblPrEx>
          <w:tblLayout w:type="fixed"/>
          <w:tblCellMar>
            <w:top w:w="0" w:type="dxa"/>
            <w:left w:w="0" w:type="dxa"/>
            <w:bottom w:w="0" w:type="dxa"/>
            <w:right w:w="0" w:type="dxa"/>
          </w:tblCellMar>
        </w:tblPrEx>
        <w:trPr>
          <w:trHeight w:val="555"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line="241" w:lineRule="exact"/>
              <w:ind w:left="156" w:right="0"/>
              <w:jc w:val="left"/>
              <w:rPr>
                <w:rFonts w:ascii="宋体" w:hAnsi="宋体" w:eastAsia="宋体" w:cs="宋体"/>
                <w:color w:val="auto"/>
                <w:sz w:val="18"/>
                <w:szCs w:val="18"/>
              </w:rPr>
            </w:pPr>
            <w:r>
              <w:rPr>
                <w:rFonts w:ascii="宋体" w:hAnsi="宋体" w:eastAsia="宋体" w:cs="宋体"/>
                <w:b w:val="0"/>
                <w:bCs w:val="0"/>
                <w:color w:val="auto"/>
                <w:spacing w:val="0"/>
                <w:w w:val="100"/>
                <w:sz w:val="18"/>
                <w:szCs w:val="18"/>
              </w:rPr>
              <w:t>序</w:t>
            </w:r>
          </w:p>
          <w:p>
            <w:pPr>
              <w:pStyle w:val="10"/>
              <w:spacing w:line="271" w:lineRule="exact"/>
              <w:ind w:left="156" w:right="0"/>
              <w:jc w:val="left"/>
              <w:rPr>
                <w:rFonts w:ascii="宋体" w:hAnsi="宋体" w:eastAsia="宋体" w:cs="宋体"/>
                <w:color w:val="auto"/>
                <w:sz w:val="18"/>
                <w:szCs w:val="18"/>
              </w:rPr>
            </w:pPr>
            <w:r>
              <w:rPr>
                <w:rFonts w:ascii="宋体" w:hAnsi="宋体" w:eastAsia="宋体" w:cs="宋体"/>
                <w:b w:val="0"/>
                <w:bCs w:val="0"/>
                <w:color w:val="auto"/>
                <w:spacing w:val="0"/>
                <w:w w:val="100"/>
                <w:sz w:val="18"/>
                <w:szCs w:val="18"/>
              </w:rPr>
              <w:t>号</w:t>
            </w:r>
          </w:p>
        </w:tc>
        <w:tc>
          <w:tcPr>
            <w:tcW w:w="3702" w:type="dxa"/>
            <w:tcBorders>
              <w:top w:val="single" w:color="000000" w:sz="4" w:space="0"/>
              <w:left w:val="single" w:color="000000" w:sz="4" w:space="0"/>
              <w:bottom w:val="single" w:color="000000" w:sz="4" w:space="0"/>
              <w:right w:val="single" w:color="000000" w:sz="4" w:space="0"/>
            </w:tcBorders>
          </w:tcPr>
          <w:p>
            <w:pPr>
              <w:pStyle w:val="10"/>
              <w:spacing w:before="66"/>
              <w:ind w:left="1458" w:right="1456"/>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股东名</w:t>
            </w:r>
            <w:r>
              <w:rPr>
                <w:rFonts w:ascii="宋体" w:hAnsi="宋体" w:eastAsia="宋体" w:cs="宋体"/>
                <w:b w:val="0"/>
                <w:bCs w:val="0"/>
                <w:color w:val="auto"/>
                <w:spacing w:val="0"/>
                <w:w w:val="100"/>
                <w:sz w:val="18"/>
                <w:szCs w:val="18"/>
              </w:rPr>
              <w:t>称</w:t>
            </w:r>
          </w:p>
        </w:tc>
        <w:tc>
          <w:tcPr>
            <w:tcW w:w="1435" w:type="dxa"/>
            <w:tcBorders>
              <w:top w:val="single" w:color="000000" w:sz="4" w:space="0"/>
              <w:left w:val="single" w:color="000000" w:sz="4" w:space="0"/>
              <w:bottom w:val="single" w:color="000000" w:sz="4" w:space="0"/>
              <w:right w:val="single" w:color="000000" w:sz="4" w:space="0"/>
            </w:tcBorders>
          </w:tcPr>
          <w:p>
            <w:pPr>
              <w:pStyle w:val="10"/>
              <w:spacing w:line="241" w:lineRule="exact"/>
              <w:ind w:left="270" w:right="27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持股数</w:t>
            </w:r>
            <w:r>
              <w:rPr>
                <w:rFonts w:ascii="宋体" w:hAnsi="宋体" w:eastAsia="宋体" w:cs="宋体"/>
                <w:b w:val="0"/>
                <w:bCs w:val="0"/>
                <w:color w:val="auto"/>
                <w:spacing w:val="0"/>
                <w:w w:val="100"/>
                <w:sz w:val="18"/>
                <w:szCs w:val="18"/>
              </w:rPr>
              <w:t>量</w:t>
            </w:r>
          </w:p>
          <w:p>
            <w:pPr>
              <w:pStyle w:val="10"/>
              <w:spacing w:line="271" w:lineRule="exact"/>
              <w:ind w:left="376" w:right="376"/>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（股</w:t>
            </w:r>
            <w:r>
              <w:rPr>
                <w:rFonts w:ascii="宋体" w:hAnsi="宋体" w:eastAsia="宋体" w:cs="宋体"/>
                <w:b w:val="0"/>
                <w:bCs w:val="0"/>
                <w:color w:val="auto"/>
                <w:spacing w:val="0"/>
                <w:w w:val="100"/>
                <w:sz w:val="18"/>
                <w:szCs w:val="18"/>
              </w:rPr>
              <w:t>）</w:t>
            </w:r>
          </w:p>
        </w:tc>
        <w:tc>
          <w:tcPr>
            <w:tcW w:w="1198" w:type="dxa"/>
            <w:tcBorders>
              <w:top w:val="single" w:color="000000" w:sz="4" w:space="0"/>
              <w:left w:val="single" w:color="000000" w:sz="4" w:space="0"/>
              <w:bottom w:val="single" w:color="000000" w:sz="4" w:space="0"/>
              <w:right w:val="single" w:color="000000" w:sz="4" w:space="0"/>
            </w:tcBorders>
          </w:tcPr>
          <w:p>
            <w:pPr>
              <w:pStyle w:val="10"/>
              <w:spacing w:line="241" w:lineRule="exact"/>
              <w:ind w:left="153" w:right="15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持股比</w:t>
            </w:r>
            <w:r>
              <w:rPr>
                <w:rFonts w:ascii="宋体" w:hAnsi="宋体" w:eastAsia="宋体" w:cs="宋体"/>
                <w:b w:val="0"/>
                <w:bCs w:val="0"/>
                <w:color w:val="auto"/>
                <w:spacing w:val="0"/>
                <w:w w:val="100"/>
                <w:sz w:val="18"/>
                <w:szCs w:val="18"/>
              </w:rPr>
              <w:t>例</w:t>
            </w:r>
          </w:p>
          <w:p>
            <w:pPr>
              <w:pStyle w:val="10"/>
              <w:spacing w:line="287" w:lineRule="exact"/>
              <w:ind w:left="259" w:right="259"/>
              <w:jc w:val="center"/>
              <w:rPr>
                <w:rFonts w:ascii="宋体" w:hAnsi="宋体" w:eastAsia="宋体" w:cs="宋体"/>
                <w:color w:val="auto"/>
                <w:sz w:val="18"/>
                <w:szCs w:val="18"/>
              </w:rPr>
            </w:pPr>
            <w:r>
              <w:rPr>
                <w:rFonts w:ascii="宋体" w:hAnsi="宋体" w:eastAsia="宋体" w:cs="宋体"/>
                <w:b w:val="0"/>
                <w:bCs w:val="0"/>
                <w:color w:val="auto"/>
                <w:spacing w:val="-1"/>
                <w:w w:val="100"/>
                <w:sz w:val="18"/>
                <w:szCs w:val="18"/>
              </w:rPr>
              <w:t>（</w:t>
            </w:r>
            <w:r>
              <w:rPr>
                <w:rFonts w:ascii="Times New Roman" w:hAnsi="Times New Roman" w:eastAsia="Times New Roman" w:cs="Times New Roman"/>
                <w:b/>
                <w:bCs/>
                <w:color w:val="auto"/>
                <w:spacing w:val="2"/>
                <w:w w:val="100"/>
                <w:sz w:val="18"/>
                <w:szCs w:val="18"/>
              </w:rPr>
              <w:t>%</w:t>
            </w:r>
            <w:r>
              <w:rPr>
                <w:rFonts w:ascii="宋体" w:hAnsi="宋体" w:eastAsia="宋体" w:cs="宋体"/>
                <w:b w:val="0"/>
                <w:bCs w:val="0"/>
                <w:color w:val="auto"/>
                <w:spacing w:val="0"/>
                <w:w w:val="100"/>
                <w:sz w:val="18"/>
                <w:szCs w:val="18"/>
              </w:rPr>
              <w:t>）</w:t>
            </w:r>
          </w:p>
        </w:tc>
        <w:tc>
          <w:tcPr>
            <w:tcW w:w="1744" w:type="dxa"/>
            <w:tcBorders>
              <w:top w:val="single" w:color="000000" w:sz="4" w:space="0"/>
              <w:left w:val="single" w:color="000000" w:sz="4" w:space="0"/>
              <w:bottom w:val="single" w:color="000000" w:sz="4" w:space="0"/>
              <w:right w:val="single" w:color="000000" w:sz="4" w:space="0"/>
            </w:tcBorders>
          </w:tcPr>
          <w:p>
            <w:pPr>
              <w:pStyle w:val="10"/>
              <w:spacing w:before="66"/>
              <w:ind w:left="133" w:right="0"/>
              <w:jc w:val="left"/>
              <w:rPr>
                <w:rFonts w:ascii="宋体" w:hAnsi="宋体" w:eastAsia="宋体" w:cs="宋体"/>
                <w:color w:val="auto"/>
                <w:sz w:val="18"/>
                <w:szCs w:val="18"/>
              </w:rPr>
            </w:pPr>
            <w:r>
              <w:rPr>
                <w:rFonts w:ascii="宋体" w:hAnsi="宋体" w:eastAsia="宋体" w:cs="宋体"/>
                <w:b w:val="0"/>
                <w:bCs w:val="0"/>
                <w:color w:val="auto"/>
                <w:spacing w:val="2"/>
                <w:w w:val="100"/>
                <w:sz w:val="18"/>
                <w:szCs w:val="18"/>
              </w:rPr>
              <w:t>限售股</w:t>
            </w:r>
            <w:r>
              <w:rPr>
                <w:rFonts w:ascii="宋体" w:hAnsi="宋体" w:eastAsia="宋体" w:cs="宋体"/>
                <w:b w:val="0"/>
                <w:bCs w:val="0"/>
                <w:color w:val="auto"/>
                <w:spacing w:val="-1"/>
                <w:w w:val="100"/>
                <w:sz w:val="18"/>
                <w:szCs w:val="18"/>
              </w:rPr>
              <w:t>数</w:t>
            </w:r>
            <w:r>
              <w:rPr>
                <w:rFonts w:ascii="宋体" w:hAnsi="宋体" w:eastAsia="宋体" w:cs="宋体"/>
                <w:b w:val="0"/>
                <w:bCs w:val="0"/>
                <w:color w:val="auto"/>
                <w:spacing w:val="2"/>
                <w:w w:val="100"/>
                <w:sz w:val="18"/>
                <w:szCs w:val="18"/>
              </w:rPr>
              <w:t>（股</w:t>
            </w:r>
            <w:r>
              <w:rPr>
                <w:rFonts w:ascii="宋体" w:hAnsi="宋体" w:eastAsia="宋体" w:cs="宋体"/>
                <w:b w:val="0"/>
                <w:bCs w:val="0"/>
                <w:color w:val="auto"/>
                <w:spacing w:val="0"/>
                <w:w w:val="100"/>
                <w:sz w:val="18"/>
                <w:szCs w:val="18"/>
              </w:rPr>
              <w:t>）</w:t>
            </w: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1</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东营市财政局</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1,150,847,966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26.1815%</w:t>
            </w:r>
          </w:p>
        </w:tc>
        <w:tc>
          <w:tcPr>
            <w:tcW w:w="1744" w:type="dxa"/>
            <w:vMerge w:val="restart"/>
            <w:tcBorders>
              <w:top w:val="single" w:color="000000" w:sz="4" w:space="0"/>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本行非新三板挂牌公司，不适用</w:t>
            </w:r>
            <w:r>
              <w:rPr>
                <w:rFonts w:hint="eastAsia" w:ascii="Times New Roman" w:hAnsi="Times New Roman" w:eastAsia="Times New Roman" w:cs="Times New Roman"/>
                <w:b w:val="0"/>
                <w:bCs w:val="0"/>
                <w:color w:val="auto"/>
                <w:spacing w:val="0"/>
                <w:w w:val="100"/>
                <w:sz w:val="18"/>
                <w:szCs w:val="18"/>
                <w:lang w:eastAsia="zh-CN"/>
              </w:rPr>
              <w:t>。</w:t>
            </w: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2</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东营区财金投资发展有限责任公司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310,058,518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7.0538%</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3"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3</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山东鑫都置业有限公司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180,461,300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4.1055%</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4</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东营华联石油化工厂有限公司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163,738,474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3.7250%</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5</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东营市东凯产业投资管理有限公司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161,764,851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3.6801%</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3"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6</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广饶县经济发展投资集团有限公司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160,000,000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3.6400%</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7</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山东金达源集团有限公司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146,435,692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3.3314%</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8</w:t>
            </w:r>
          </w:p>
        </w:tc>
        <w:tc>
          <w:tcPr>
            <w:tcW w:w="3702" w:type="dxa"/>
            <w:tcBorders>
              <w:top w:val="single" w:color="000000" w:sz="4" w:space="0"/>
              <w:left w:val="single" w:color="000000" w:sz="4" w:space="0"/>
              <w:bottom w:val="single" w:color="000000" w:sz="4" w:space="0"/>
              <w:right w:val="single" w:color="000000" w:sz="4" w:space="0"/>
            </w:tcBorders>
            <w:textDirection w:val="lrTb"/>
            <w:vAlign w:val="bottom"/>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东营市河口区财金投资集团有限公司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130,000,000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2.9575%</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3"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9</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山东宏盈信石油化工有限公司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104,192,135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2.3703%</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641" w:type="dxa"/>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10</w:t>
            </w:r>
          </w:p>
        </w:tc>
        <w:tc>
          <w:tcPr>
            <w:tcW w:w="3702"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eastAsia" w:ascii="Times New Roman" w:hAnsi="Times New Roman" w:eastAsia="Times New Roman" w:cs="Times New Roman"/>
                <w:b w:val="0"/>
                <w:bCs w:val="0"/>
                <w:color w:val="auto"/>
                <w:spacing w:val="0"/>
                <w:w w:val="100"/>
                <w:sz w:val="18"/>
                <w:szCs w:val="18"/>
                <w:lang w:val="en-US" w:eastAsia="zh-CN"/>
              </w:rPr>
              <w:t>东营市河口区城市建设投资集团有限公司</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102,242,959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2.3260%</w:t>
            </w:r>
          </w:p>
        </w:tc>
        <w:tc>
          <w:tcPr>
            <w:tcW w:w="1744" w:type="dxa"/>
            <w:vMerge w:val="continue"/>
            <w:tcBorders>
              <w:left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r>
        <w:tblPrEx>
          <w:tblLayout w:type="fixed"/>
          <w:tblCellMar>
            <w:top w:w="0" w:type="dxa"/>
            <w:left w:w="0" w:type="dxa"/>
            <w:bottom w:w="0" w:type="dxa"/>
            <w:right w:w="0" w:type="dxa"/>
          </w:tblCellMar>
        </w:tblPrEx>
        <w:trPr>
          <w:trHeight w:val="282" w:hRule="exact"/>
        </w:trPr>
        <w:tc>
          <w:tcPr>
            <w:tcW w:w="4343" w:type="dxa"/>
            <w:gridSpan w:val="2"/>
            <w:tcBorders>
              <w:top w:val="single" w:color="000000" w:sz="4" w:space="0"/>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ascii="Times New Roman" w:hAnsi="Times New Roman" w:eastAsia="Times New Roman" w:cs="Times New Roman"/>
                <w:b w:val="0"/>
                <w:bCs w:val="0"/>
                <w:color w:val="auto"/>
                <w:spacing w:val="0"/>
                <w:w w:val="100"/>
                <w:sz w:val="18"/>
                <w:szCs w:val="18"/>
              </w:rPr>
              <w:t>合计</w:t>
            </w:r>
          </w:p>
        </w:tc>
        <w:tc>
          <w:tcPr>
            <w:tcW w:w="1435"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 xml:space="preserve">2,609,741,895 </w:t>
            </w:r>
          </w:p>
        </w:tc>
        <w:tc>
          <w:tcPr>
            <w:tcW w:w="1198" w:type="dxa"/>
            <w:tcBorders>
              <w:top w:val="single" w:color="000000" w:sz="4" w:space="0"/>
              <w:left w:val="single" w:color="000000" w:sz="4" w:space="0"/>
              <w:bottom w:val="single" w:color="000000" w:sz="4" w:space="0"/>
              <w:right w:val="single" w:color="000000" w:sz="4" w:space="0"/>
            </w:tcBorders>
            <w:textDirection w:val="lrTb"/>
            <w:vAlign w:val="center"/>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r>
              <w:rPr>
                <w:rFonts w:hint="default" w:ascii="Times New Roman" w:hAnsi="Times New Roman" w:eastAsia="Times New Roman" w:cs="Times New Roman"/>
                <w:b w:val="0"/>
                <w:bCs w:val="0"/>
                <w:color w:val="auto"/>
                <w:spacing w:val="0"/>
                <w:w w:val="100"/>
                <w:sz w:val="18"/>
                <w:szCs w:val="18"/>
                <w:lang w:val="en-US" w:eastAsia="zh-CN"/>
              </w:rPr>
              <w:t>59.3710%</w:t>
            </w:r>
          </w:p>
        </w:tc>
        <w:tc>
          <w:tcPr>
            <w:tcW w:w="1744" w:type="dxa"/>
            <w:vMerge w:val="continue"/>
            <w:tcBorders>
              <w:left w:val="single" w:color="000000" w:sz="4" w:space="0"/>
              <w:bottom w:val="single" w:color="000000" w:sz="4" w:space="0"/>
              <w:right w:val="single" w:color="000000" w:sz="4" w:space="0"/>
            </w:tcBorders>
          </w:tcPr>
          <w:p>
            <w:pPr>
              <w:pStyle w:val="10"/>
              <w:spacing w:before="15"/>
              <w:ind w:left="189" w:right="191"/>
              <w:jc w:val="center"/>
              <w:rPr>
                <w:rFonts w:ascii="Times New Roman" w:hAnsi="Times New Roman" w:eastAsia="Times New Roman" w:cs="Times New Roman"/>
                <w:b w:val="0"/>
                <w:bCs w:val="0"/>
                <w:color w:val="auto"/>
                <w:spacing w:val="0"/>
                <w:w w:val="10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（二）本次发行前后股本结构、股东人数、资产结构、业务结构、公司控制权以及董事、监事、高级管理人员及核心员工持股的变动情况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1.本次股票发行前后的股本结构：</w:t>
      </w:r>
    </w:p>
    <w:tbl>
      <w:tblPr>
        <w:tblStyle w:val="7"/>
        <w:tblW w:w="8720" w:type="dxa"/>
        <w:jc w:val="center"/>
        <w:tblInd w:w="98" w:type="dxa"/>
        <w:tblLayout w:type="fixed"/>
        <w:tblCellMar>
          <w:top w:w="0" w:type="dxa"/>
          <w:left w:w="0" w:type="dxa"/>
          <w:bottom w:w="0" w:type="dxa"/>
          <w:right w:w="0" w:type="dxa"/>
        </w:tblCellMar>
      </w:tblPr>
      <w:tblGrid>
        <w:gridCol w:w="3064"/>
        <w:gridCol w:w="1424"/>
        <w:gridCol w:w="1404"/>
        <w:gridCol w:w="1424"/>
        <w:gridCol w:w="1404"/>
      </w:tblGrid>
      <w:tr>
        <w:tblPrEx>
          <w:tblLayout w:type="fixed"/>
          <w:tblCellMar>
            <w:top w:w="0" w:type="dxa"/>
            <w:left w:w="0" w:type="dxa"/>
            <w:bottom w:w="0" w:type="dxa"/>
            <w:right w:w="0" w:type="dxa"/>
          </w:tblCellMar>
        </w:tblPrEx>
        <w:trPr>
          <w:trHeight w:val="282" w:hRule="exact"/>
          <w:jc w:val="center"/>
        </w:trPr>
        <w:tc>
          <w:tcPr>
            <w:tcW w:w="3064" w:type="dxa"/>
            <w:vMerge w:val="restart"/>
            <w:tcBorders>
              <w:top w:val="single" w:color="000000" w:sz="4" w:space="0"/>
              <w:left w:val="single" w:color="000000" w:sz="4" w:space="0"/>
              <w:right w:val="single" w:color="000000" w:sz="4" w:space="0"/>
            </w:tcBorders>
            <w:vAlign w:val="center"/>
          </w:tcPr>
          <w:p>
            <w:pPr>
              <w:pStyle w:val="10"/>
              <w:spacing w:before="70"/>
              <w:ind w:left="1"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股票性</w:t>
            </w:r>
            <w:r>
              <w:rPr>
                <w:rFonts w:ascii="宋体" w:hAnsi="宋体" w:eastAsia="宋体" w:cs="宋体"/>
                <w:b w:val="0"/>
                <w:bCs w:val="0"/>
                <w:color w:val="auto"/>
                <w:spacing w:val="0"/>
                <w:w w:val="100"/>
                <w:sz w:val="18"/>
                <w:szCs w:val="18"/>
              </w:rPr>
              <w:t>质</w:t>
            </w:r>
          </w:p>
        </w:tc>
        <w:tc>
          <w:tcPr>
            <w:tcW w:w="2828" w:type="dxa"/>
            <w:gridSpan w:val="2"/>
            <w:tcBorders>
              <w:top w:val="single" w:color="000000" w:sz="4" w:space="0"/>
              <w:left w:val="single" w:color="000000" w:sz="4" w:space="0"/>
              <w:bottom w:val="single" w:color="000000" w:sz="4" w:space="0"/>
              <w:right w:val="single" w:color="000000" w:sz="4" w:space="0"/>
            </w:tcBorders>
            <w:vAlign w:val="center"/>
          </w:tcPr>
          <w:p>
            <w:pPr>
              <w:pStyle w:val="10"/>
              <w:spacing w:line="241" w:lineRule="exact"/>
              <w:ind w:right="1"/>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发行</w:t>
            </w:r>
            <w:r>
              <w:rPr>
                <w:rFonts w:ascii="宋体" w:hAnsi="宋体" w:eastAsia="宋体" w:cs="宋体"/>
                <w:b w:val="0"/>
                <w:bCs w:val="0"/>
                <w:color w:val="auto"/>
                <w:spacing w:val="0"/>
                <w:w w:val="100"/>
                <w:sz w:val="18"/>
                <w:szCs w:val="18"/>
              </w:rPr>
              <w:t>前</w:t>
            </w:r>
          </w:p>
        </w:tc>
        <w:tc>
          <w:tcPr>
            <w:tcW w:w="2828" w:type="dxa"/>
            <w:gridSpan w:val="2"/>
            <w:tcBorders>
              <w:top w:val="single" w:color="000000" w:sz="4" w:space="0"/>
              <w:left w:val="single" w:color="000000" w:sz="4" w:space="0"/>
              <w:bottom w:val="single" w:color="000000" w:sz="4" w:space="0"/>
              <w:right w:val="single" w:color="000000" w:sz="4" w:space="0"/>
            </w:tcBorders>
            <w:vAlign w:val="center"/>
          </w:tcPr>
          <w:p>
            <w:pPr>
              <w:pStyle w:val="10"/>
              <w:spacing w:line="241" w:lineRule="exact"/>
              <w:ind w:left="2"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发行</w:t>
            </w:r>
            <w:r>
              <w:rPr>
                <w:rFonts w:ascii="宋体" w:hAnsi="宋体" w:eastAsia="宋体" w:cs="宋体"/>
                <w:b w:val="0"/>
                <w:bCs w:val="0"/>
                <w:color w:val="auto"/>
                <w:spacing w:val="0"/>
                <w:w w:val="100"/>
                <w:sz w:val="18"/>
                <w:szCs w:val="18"/>
              </w:rPr>
              <w:t>后</w:t>
            </w:r>
          </w:p>
        </w:tc>
      </w:tr>
      <w:tr>
        <w:tblPrEx>
          <w:tblLayout w:type="fixed"/>
          <w:tblCellMar>
            <w:top w:w="0" w:type="dxa"/>
            <w:left w:w="0" w:type="dxa"/>
            <w:bottom w:w="0" w:type="dxa"/>
            <w:right w:w="0" w:type="dxa"/>
          </w:tblCellMar>
        </w:tblPrEx>
        <w:trPr>
          <w:trHeight w:val="282" w:hRule="exact"/>
          <w:jc w:val="center"/>
        </w:trPr>
        <w:tc>
          <w:tcPr>
            <w:tcW w:w="3064" w:type="dxa"/>
            <w:vMerge w:val="continue"/>
            <w:tcBorders>
              <w:left w:val="single" w:color="000000" w:sz="4" w:space="0"/>
              <w:bottom w:val="single" w:color="000000" w:sz="4" w:space="0"/>
              <w:right w:val="single" w:color="000000" w:sz="4" w:space="0"/>
            </w:tcBorders>
            <w:vAlign w:val="center"/>
          </w:tcPr>
          <w:p>
            <w:pPr>
              <w:jc w:val="center"/>
              <w:rPr>
                <w:color w:val="auto"/>
                <w:sz w:val="18"/>
                <w:szCs w:val="18"/>
              </w:rPr>
            </w:pP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10"/>
              <w:spacing w:line="240" w:lineRule="exact"/>
              <w:ind w:left="181"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数量（</w:t>
            </w:r>
            <w:r>
              <w:rPr>
                <w:rFonts w:ascii="宋体" w:hAnsi="宋体" w:eastAsia="宋体" w:cs="宋体"/>
                <w:b w:val="0"/>
                <w:bCs w:val="0"/>
                <w:color w:val="auto"/>
                <w:spacing w:val="-1"/>
                <w:w w:val="100"/>
                <w:sz w:val="18"/>
                <w:szCs w:val="18"/>
              </w:rPr>
              <w:t>股</w:t>
            </w:r>
            <w:r>
              <w:rPr>
                <w:rFonts w:ascii="宋体" w:hAnsi="宋体" w:eastAsia="宋体" w:cs="宋体"/>
                <w:b w:val="0"/>
                <w:bCs w:val="0"/>
                <w:color w:val="auto"/>
                <w:spacing w:val="0"/>
                <w:w w:val="100"/>
                <w:sz w:val="18"/>
                <w:szCs w:val="18"/>
              </w:rPr>
              <w:t>）</w:t>
            </w: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10"/>
              <w:spacing w:line="256" w:lineRule="exact"/>
              <w:ind w:left="173"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比例</w:t>
            </w:r>
            <w:r>
              <w:rPr>
                <w:rFonts w:ascii="宋体" w:hAnsi="宋体" w:eastAsia="宋体" w:cs="宋体"/>
                <w:b w:val="0"/>
                <w:bCs w:val="0"/>
                <w:color w:val="auto"/>
                <w:spacing w:val="-1"/>
                <w:w w:val="100"/>
                <w:sz w:val="18"/>
                <w:szCs w:val="18"/>
              </w:rPr>
              <w:t>（</w:t>
            </w:r>
            <w:r>
              <w:rPr>
                <w:rFonts w:ascii="Times New Roman" w:hAnsi="Times New Roman" w:eastAsia="Times New Roman" w:cs="Times New Roman"/>
                <w:b/>
                <w:bCs/>
                <w:color w:val="auto"/>
                <w:spacing w:val="-1"/>
                <w:w w:val="100"/>
                <w:sz w:val="18"/>
                <w:szCs w:val="18"/>
              </w:rPr>
              <w:t>%</w:t>
            </w:r>
            <w:r>
              <w:rPr>
                <w:rFonts w:ascii="宋体" w:hAnsi="宋体" w:eastAsia="宋体" w:cs="宋体"/>
                <w:b w:val="0"/>
                <w:bCs w:val="0"/>
                <w:color w:val="auto"/>
                <w:spacing w:val="0"/>
                <w:w w:val="100"/>
                <w:sz w:val="18"/>
                <w:szCs w:val="18"/>
              </w:rPr>
              <w:t>）</w:t>
            </w: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10"/>
              <w:spacing w:line="240" w:lineRule="exact"/>
              <w:ind w:left="182"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数量（</w:t>
            </w:r>
            <w:r>
              <w:rPr>
                <w:rFonts w:ascii="宋体" w:hAnsi="宋体" w:eastAsia="宋体" w:cs="宋体"/>
                <w:b w:val="0"/>
                <w:bCs w:val="0"/>
                <w:color w:val="auto"/>
                <w:spacing w:val="-1"/>
                <w:w w:val="100"/>
                <w:sz w:val="18"/>
                <w:szCs w:val="18"/>
              </w:rPr>
              <w:t>股</w:t>
            </w:r>
            <w:r>
              <w:rPr>
                <w:rFonts w:ascii="宋体" w:hAnsi="宋体" w:eastAsia="宋体" w:cs="宋体"/>
                <w:b w:val="0"/>
                <w:bCs w:val="0"/>
                <w:color w:val="auto"/>
                <w:spacing w:val="0"/>
                <w:w w:val="100"/>
                <w:sz w:val="18"/>
                <w:szCs w:val="18"/>
              </w:rPr>
              <w:t>）</w:t>
            </w:r>
          </w:p>
        </w:tc>
        <w:tc>
          <w:tcPr>
            <w:tcW w:w="1404" w:type="dxa"/>
            <w:tcBorders>
              <w:top w:val="single" w:color="000000" w:sz="4" w:space="0"/>
              <w:left w:val="single" w:color="000000" w:sz="4" w:space="0"/>
              <w:bottom w:val="single" w:color="000000" w:sz="4" w:space="0"/>
              <w:right w:val="single" w:color="000000" w:sz="4" w:space="0"/>
            </w:tcBorders>
            <w:vAlign w:val="center"/>
          </w:tcPr>
          <w:p>
            <w:pPr>
              <w:pStyle w:val="10"/>
              <w:spacing w:line="256" w:lineRule="exact"/>
              <w:ind w:left="172"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比例</w:t>
            </w:r>
            <w:r>
              <w:rPr>
                <w:rFonts w:ascii="宋体" w:hAnsi="宋体" w:eastAsia="宋体" w:cs="宋体"/>
                <w:b w:val="0"/>
                <w:bCs w:val="0"/>
                <w:color w:val="auto"/>
                <w:spacing w:val="-1"/>
                <w:w w:val="100"/>
                <w:sz w:val="18"/>
                <w:szCs w:val="18"/>
              </w:rPr>
              <w:t>（</w:t>
            </w:r>
            <w:r>
              <w:rPr>
                <w:rFonts w:ascii="Times New Roman" w:hAnsi="Times New Roman" w:eastAsia="Times New Roman" w:cs="Times New Roman"/>
                <w:b/>
                <w:bCs/>
                <w:color w:val="auto"/>
                <w:spacing w:val="2"/>
                <w:w w:val="100"/>
                <w:sz w:val="18"/>
                <w:szCs w:val="18"/>
              </w:rPr>
              <w:t>%</w:t>
            </w:r>
            <w:r>
              <w:rPr>
                <w:rFonts w:ascii="宋体" w:hAnsi="宋体" w:eastAsia="宋体" w:cs="宋体"/>
                <w:b w:val="0"/>
                <w:bCs w:val="0"/>
                <w:color w:val="auto"/>
                <w:spacing w:val="0"/>
                <w:w w:val="100"/>
                <w:sz w:val="18"/>
                <w:szCs w:val="18"/>
              </w:rPr>
              <w:t>）</w:t>
            </w:r>
          </w:p>
        </w:tc>
      </w:tr>
      <w:tr>
        <w:tblPrEx>
          <w:tblLayout w:type="fixed"/>
          <w:tblCellMar>
            <w:top w:w="0" w:type="dxa"/>
            <w:left w:w="0" w:type="dxa"/>
            <w:bottom w:w="0" w:type="dxa"/>
            <w:right w:w="0" w:type="dxa"/>
          </w:tblCellMar>
        </w:tblPrEx>
        <w:trPr>
          <w:trHeight w:val="283" w:hRule="exact"/>
          <w:jc w:val="center"/>
        </w:trPr>
        <w:tc>
          <w:tcPr>
            <w:tcW w:w="3064" w:type="dxa"/>
            <w:tcBorders>
              <w:top w:val="single" w:color="000000" w:sz="4" w:space="0"/>
              <w:left w:val="single" w:color="000000" w:sz="4" w:space="0"/>
              <w:bottom w:val="single" w:color="000000" w:sz="4" w:space="0"/>
              <w:right w:val="single" w:color="000000" w:sz="4" w:space="0"/>
            </w:tcBorders>
            <w:vAlign w:val="center"/>
          </w:tcPr>
          <w:p>
            <w:pPr>
              <w:pStyle w:val="10"/>
              <w:spacing w:line="241" w:lineRule="exact"/>
              <w:ind w:left="1086" w:right="1089"/>
              <w:jc w:val="center"/>
              <w:rPr>
                <w:rFonts w:ascii="宋体" w:hAnsi="宋体" w:eastAsia="宋体" w:cs="宋体"/>
                <w:color w:val="auto"/>
                <w:sz w:val="18"/>
                <w:szCs w:val="18"/>
              </w:rPr>
            </w:pPr>
            <w:r>
              <w:rPr>
                <w:rFonts w:ascii="宋体" w:hAnsi="宋体" w:eastAsia="宋体" w:cs="宋体"/>
                <w:b w:val="0"/>
                <w:bCs w:val="0"/>
                <w:color w:val="auto"/>
                <w:spacing w:val="-1"/>
                <w:w w:val="100"/>
                <w:sz w:val="18"/>
                <w:szCs w:val="18"/>
              </w:rPr>
              <w:t>法</w:t>
            </w:r>
            <w:r>
              <w:rPr>
                <w:rFonts w:ascii="宋体" w:hAnsi="宋体" w:eastAsia="宋体" w:cs="宋体"/>
                <w:b w:val="0"/>
                <w:bCs w:val="0"/>
                <w:color w:val="auto"/>
                <w:spacing w:val="2"/>
                <w:w w:val="100"/>
                <w:sz w:val="18"/>
                <w:szCs w:val="18"/>
              </w:rPr>
              <w:t>人</w:t>
            </w:r>
            <w:r>
              <w:rPr>
                <w:rFonts w:ascii="宋体" w:hAnsi="宋体" w:eastAsia="宋体" w:cs="宋体"/>
                <w:b w:val="0"/>
                <w:bCs w:val="0"/>
                <w:color w:val="auto"/>
                <w:spacing w:val="-1"/>
                <w:w w:val="100"/>
                <w:sz w:val="18"/>
                <w:szCs w:val="18"/>
              </w:rPr>
              <w:t>股</w:t>
            </w:r>
            <w:r>
              <w:rPr>
                <w:rFonts w:ascii="宋体" w:hAnsi="宋体" w:eastAsia="宋体" w:cs="宋体"/>
                <w:b w:val="0"/>
                <w:bCs w:val="0"/>
                <w:color w:val="auto"/>
                <w:spacing w:val="0"/>
                <w:w w:val="100"/>
                <w:sz w:val="18"/>
                <w:szCs w:val="18"/>
              </w:rPr>
              <w:t>东</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 xml:space="preserve">3,375,533,872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92.0473%</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 xml:space="preserve">4,104,010,693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93.3653%</w:t>
            </w:r>
          </w:p>
        </w:tc>
      </w:tr>
      <w:tr>
        <w:tblPrEx>
          <w:tblLayout w:type="fixed"/>
          <w:tblCellMar>
            <w:top w:w="0" w:type="dxa"/>
            <w:left w:w="0" w:type="dxa"/>
            <w:bottom w:w="0" w:type="dxa"/>
            <w:right w:w="0" w:type="dxa"/>
          </w:tblCellMar>
        </w:tblPrEx>
        <w:trPr>
          <w:trHeight w:val="282" w:hRule="exact"/>
          <w:jc w:val="center"/>
        </w:trPr>
        <w:tc>
          <w:tcPr>
            <w:tcW w:w="3064" w:type="dxa"/>
            <w:tcBorders>
              <w:top w:val="single" w:color="000000" w:sz="4" w:space="0"/>
              <w:left w:val="single" w:color="000000" w:sz="4" w:space="0"/>
              <w:bottom w:val="single" w:color="000000" w:sz="4" w:space="0"/>
              <w:right w:val="single" w:color="000000" w:sz="4" w:space="0"/>
            </w:tcBorders>
            <w:vAlign w:val="center"/>
          </w:tcPr>
          <w:p>
            <w:pPr>
              <w:pStyle w:val="10"/>
              <w:spacing w:line="239" w:lineRule="exact"/>
              <w:ind w:left="1086" w:right="1089"/>
              <w:jc w:val="center"/>
              <w:rPr>
                <w:rFonts w:ascii="宋体" w:hAnsi="宋体" w:eastAsia="宋体" w:cs="宋体"/>
                <w:color w:val="auto"/>
                <w:sz w:val="18"/>
                <w:szCs w:val="18"/>
              </w:rPr>
            </w:pPr>
            <w:r>
              <w:rPr>
                <w:rFonts w:ascii="宋体" w:hAnsi="宋体" w:eastAsia="宋体" w:cs="宋体"/>
                <w:b w:val="0"/>
                <w:bCs w:val="0"/>
                <w:color w:val="auto"/>
                <w:spacing w:val="-1"/>
                <w:w w:val="100"/>
                <w:sz w:val="18"/>
                <w:szCs w:val="18"/>
              </w:rPr>
              <w:t>个</w:t>
            </w:r>
            <w:r>
              <w:rPr>
                <w:rFonts w:ascii="宋体" w:hAnsi="宋体" w:eastAsia="宋体" w:cs="宋体"/>
                <w:b w:val="0"/>
                <w:bCs w:val="0"/>
                <w:color w:val="auto"/>
                <w:spacing w:val="2"/>
                <w:w w:val="100"/>
                <w:sz w:val="18"/>
                <w:szCs w:val="18"/>
              </w:rPr>
              <w:t>人</w:t>
            </w:r>
            <w:r>
              <w:rPr>
                <w:rFonts w:ascii="宋体" w:hAnsi="宋体" w:eastAsia="宋体" w:cs="宋体"/>
                <w:b w:val="0"/>
                <w:bCs w:val="0"/>
                <w:color w:val="auto"/>
                <w:spacing w:val="-1"/>
                <w:w w:val="100"/>
                <w:sz w:val="18"/>
                <w:szCs w:val="18"/>
              </w:rPr>
              <w:t>股</w:t>
            </w:r>
            <w:r>
              <w:rPr>
                <w:rFonts w:ascii="宋体" w:hAnsi="宋体" w:eastAsia="宋体" w:cs="宋体"/>
                <w:b w:val="0"/>
                <w:bCs w:val="0"/>
                <w:color w:val="auto"/>
                <w:spacing w:val="0"/>
                <w:w w:val="100"/>
                <w:sz w:val="18"/>
                <w:szCs w:val="18"/>
              </w:rPr>
              <w:t>东</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 xml:space="preserve">291,640,103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7.9527%</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 xml:space="preserve">291,640,103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6.6347%</w:t>
            </w:r>
          </w:p>
        </w:tc>
      </w:tr>
      <w:tr>
        <w:tblPrEx>
          <w:tblLayout w:type="fixed"/>
          <w:tblCellMar>
            <w:top w:w="0" w:type="dxa"/>
            <w:left w:w="0" w:type="dxa"/>
            <w:bottom w:w="0" w:type="dxa"/>
            <w:right w:w="0" w:type="dxa"/>
          </w:tblCellMar>
        </w:tblPrEx>
        <w:trPr>
          <w:trHeight w:val="282" w:hRule="exact"/>
          <w:jc w:val="center"/>
        </w:trPr>
        <w:tc>
          <w:tcPr>
            <w:tcW w:w="3064" w:type="dxa"/>
            <w:tcBorders>
              <w:top w:val="single" w:color="000000" w:sz="4" w:space="0"/>
              <w:left w:val="single" w:color="000000" w:sz="4" w:space="0"/>
              <w:bottom w:val="single" w:color="000000" w:sz="4" w:space="0"/>
              <w:right w:val="single" w:color="000000" w:sz="4" w:space="0"/>
            </w:tcBorders>
            <w:vAlign w:val="center"/>
          </w:tcPr>
          <w:p>
            <w:pPr>
              <w:pStyle w:val="10"/>
              <w:spacing w:line="240" w:lineRule="exact"/>
              <w:ind w:left="1" w:right="0"/>
              <w:jc w:val="center"/>
              <w:rPr>
                <w:rFonts w:ascii="宋体" w:hAnsi="宋体" w:eastAsia="宋体" w:cs="宋体"/>
                <w:color w:val="auto"/>
                <w:sz w:val="18"/>
                <w:szCs w:val="18"/>
              </w:rPr>
            </w:pPr>
            <w:r>
              <w:rPr>
                <w:rFonts w:ascii="宋体" w:hAnsi="宋体" w:eastAsia="宋体" w:cs="宋体"/>
                <w:b w:val="0"/>
                <w:bCs w:val="0"/>
                <w:color w:val="auto"/>
                <w:spacing w:val="2"/>
                <w:w w:val="100"/>
                <w:sz w:val="18"/>
                <w:szCs w:val="18"/>
              </w:rPr>
              <w:t>总股</w:t>
            </w:r>
            <w:r>
              <w:rPr>
                <w:rFonts w:ascii="宋体" w:hAnsi="宋体" w:eastAsia="宋体" w:cs="宋体"/>
                <w:b w:val="0"/>
                <w:bCs w:val="0"/>
                <w:color w:val="auto"/>
                <w:spacing w:val="0"/>
                <w:w w:val="100"/>
                <w:sz w:val="18"/>
                <w:szCs w:val="18"/>
              </w:rPr>
              <w:t>本</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 xml:space="preserve">3,667,173,975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100.0000%</w:t>
            </w:r>
          </w:p>
        </w:tc>
        <w:tc>
          <w:tcPr>
            <w:tcW w:w="142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18"/>
                <w:szCs w:val="18"/>
              </w:rPr>
            </w:pPr>
            <w:r>
              <w:rPr>
                <w:rFonts w:hint="default" w:ascii="Times New Roman" w:hAnsi="Times New Roman" w:eastAsia="黑体" w:cs="Times New Roman"/>
                <w:i w:val="0"/>
                <w:color w:val="auto"/>
                <w:kern w:val="0"/>
                <w:sz w:val="18"/>
                <w:szCs w:val="18"/>
                <w:u w:val="none"/>
                <w:lang w:val="en-US" w:eastAsia="zh-CN" w:bidi="ar"/>
              </w:rPr>
              <w:t xml:space="preserve">4,395,650,796 </w:t>
            </w:r>
          </w:p>
        </w:tc>
        <w:tc>
          <w:tcPr>
            <w:tcW w:w="14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18"/>
                <w:szCs w:val="18"/>
              </w:rPr>
            </w:pPr>
            <w:r>
              <w:rPr>
                <w:rFonts w:hint="default" w:ascii="Times New Roman" w:hAnsi="Times New Roman" w:eastAsia="黑体" w:cs="Times New Roman"/>
                <w:i w:val="0"/>
                <w:color w:val="auto"/>
                <w:kern w:val="0"/>
                <w:sz w:val="18"/>
                <w:szCs w:val="18"/>
                <w:u w:val="none"/>
                <w:lang w:val="en-US" w:eastAsia="zh-CN" w:bidi="ar"/>
              </w:rPr>
              <w:t>100.00%</w:t>
            </w:r>
          </w:p>
        </w:tc>
      </w:tr>
    </w:tbl>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2.股东人数变动情况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本次股票发行无新增股东。</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3.资产结构变动情况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本次定向发行后，公司注册资本、净资产等财务指标都有一定程度的提高。本次股票发行有利于改善公司资本结构，提高抵御风险的能力。</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4.业务结构变动情况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本次股票发行前，公司的主营业务为银行业相关业务。</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本次定向发行的募集资金全部用于补充本行资本金，以提高资本充足率。</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本次发行后，公司业务结构将不会发生重大变化。</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5.董事、监事、高级管理人员及核心员工持股的变动情况</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本次股票发行前后，公司董事、监事、高级管理人员及核心员工持股未发生变动。</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bCs/>
          <w:color w:val="auto"/>
          <w:spacing w:val="0"/>
          <w:w w:val="100"/>
        </w:rPr>
      </w:pPr>
      <w:r>
        <w:rPr>
          <w:rFonts w:hint="eastAsia"/>
          <w:b/>
          <w:bCs/>
          <w:color w:val="auto"/>
          <w:spacing w:val="0"/>
          <w:w w:val="100"/>
        </w:rPr>
        <w:t>（三）发行后主要财务指标变化</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本次定向发行后，公司相关财务指标均有一定程度改善。</w:t>
      </w:r>
    </w:p>
    <w:p>
      <w:pPr>
        <w:pStyle w:val="2"/>
        <w:widowControl w:val="0"/>
        <w:numPr>
          <w:ilvl w:val="0"/>
          <w:numId w:val="0"/>
        </w:numPr>
        <w:spacing w:after="0" w:line="240" w:lineRule="auto"/>
        <w:ind w:right="0" w:rightChars="0"/>
        <w:jc w:val="left"/>
        <w:rPr>
          <w:rFonts w:ascii="宋体" w:hAnsi="宋体" w:eastAsia="宋体" w:cs="宋体"/>
          <w:b w:val="0"/>
          <w:bCs w:val="0"/>
          <w:color w:val="auto"/>
          <w:spacing w:val="0"/>
          <w:w w:val="100"/>
        </w:rPr>
      </w:pPr>
    </w:p>
    <w:p>
      <w:pPr>
        <w:pStyle w:val="2"/>
        <w:widowControl w:val="0"/>
        <w:numPr>
          <w:ilvl w:val="0"/>
          <w:numId w:val="0"/>
        </w:numPr>
        <w:spacing w:after="0" w:line="240" w:lineRule="auto"/>
        <w:ind w:right="0" w:rightChars="0"/>
        <w:jc w:val="left"/>
        <w:rPr>
          <w:rFonts w:ascii="宋体" w:hAnsi="宋体" w:eastAsia="宋体" w:cs="宋体"/>
          <w:b w:val="0"/>
          <w:bCs w:val="0"/>
          <w:color w:val="auto"/>
          <w:spacing w:val="0"/>
          <w:w w:val="100"/>
        </w:rPr>
      </w:pPr>
    </w:p>
    <w:p>
      <w:pPr>
        <w:spacing w:after="0"/>
        <w:jc w:val="left"/>
        <w:rPr>
          <w:rFonts w:ascii="宋体" w:hAnsi="宋体" w:eastAsia="宋体" w:cs="宋体"/>
          <w:color w:val="auto"/>
        </w:rPr>
        <w:sectPr>
          <w:pgSz w:w="11906" w:h="16840"/>
          <w:pgMar w:top="1560" w:right="1300" w:bottom="280" w:left="1420" w:header="720" w:footer="720" w:gutter="0"/>
        </w:sectPr>
      </w:pPr>
    </w:p>
    <w:p>
      <w:pPr>
        <w:pStyle w:val="4"/>
        <w:tabs>
          <w:tab w:val="left" w:pos="561"/>
        </w:tabs>
        <w:spacing w:line="381" w:lineRule="exact"/>
        <w:ind w:right="119"/>
        <w:jc w:val="center"/>
        <w:rPr>
          <w:rFonts w:hint="eastAsia"/>
          <w:b/>
          <w:bCs/>
          <w:color w:val="auto"/>
          <w:spacing w:val="0"/>
          <w:w w:val="100"/>
        </w:rPr>
      </w:pPr>
      <w:r>
        <w:rPr>
          <w:rFonts w:hint="eastAsia"/>
          <w:b/>
          <w:bCs/>
          <w:color w:val="auto"/>
          <w:spacing w:val="0"/>
          <w:w w:val="100"/>
        </w:rPr>
        <w:t>三、定向发行有关事项的调整情况</w:t>
      </w:r>
    </w:p>
    <w:p>
      <w:pPr>
        <w:spacing w:before="1" w:line="140" w:lineRule="exact"/>
        <w:rPr>
          <w:color w:val="auto"/>
          <w:sz w:val="14"/>
          <w:szCs w:val="14"/>
        </w:rPr>
      </w:pPr>
    </w:p>
    <w:p>
      <w:pPr>
        <w:spacing w:line="200" w:lineRule="exact"/>
        <w:rPr>
          <w:color w:val="auto"/>
          <w:sz w:val="20"/>
          <w:szCs w:val="20"/>
        </w:rPr>
      </w:pP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08" w:lineRule="auto"/>
        <w:ind w:left="111" w:leftChars="0" w:right="106" w:rightChars="0" w:firstLine="480" w:firstLineChars="0"/>
        <w:jc w:val="both"/>
        <w:textAlignment w:val="auto"/>
        <w:outlineLvl w:val="9"/>
        <w:rPr>
          <w:rFonts w:hint="eastAsia"/>
          <w:b w:val="0"/>
          <w:bCs w:val="0"/>
          <w:color w:val="auto"/>
          <w:spacing w:val="0"/>
          <w:w w:val="100"/>
          <w:lang w:val="en-US" w:eastAsia="zh-CN"/>
        </w:rPr>
      </w:pPr>
      <w:r>
        <w:rPr>
          <w:rFonts w:hint="eastAsia"/>
          <w:b w:val="0"/>
          <w:bCs w:val="0"/>
          <w:color w:val="auto"/>
          <w:spacing w:val="0"/>
          <w:w w:val="100"/>
          <w:lang w:val="en-US" w:eastAsia="zh-CN"/>
        </w:rPr>
        <w:t>本次发行不涉及定向发行有关事项的调整。</w:t>
      </w:r>
    </w:p>
    <w:sectPr>
      <w:pgSz w:w="11906" w:h="16840"/>
      <w:pgMar w:top="1560" w:right="1300" w:bottom="280" w:left="14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宋体-简">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153E61BA"/>
    <w:rsid w:val="241E0434"/>
    <w:rsid w:val="4027795A"/>
    <w:rsid w:val="4C0751D6"/>
    <w:rsid w:val="5DD060F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2"/>
      <w:outlineLvl w:val="1"/>
    </w:pPr>
    <w:rPr>
      <w:rFonts w:ascii="Microsoft JhengHei" w:hAnsi="Microsoft JhengHei" w:eastAsia="Microsoft JhengHei"/>
      <w:sz w:val="52"/>
      <w:szCs w:val="52"/>
    </w:rPr>
  </w:style>
  <w:style w:type="paragraph" w:styleId="4">
    <w:name w:val="heading 2"/>
    <w:basedOn w:val="1"/>
    <w:next w:val="1"/>
    <w:qFormat/>
    <w:uiPriority w:val="1"/>
    <w:pPr>
      <w:outlineLvl w:val="2"/>
    </w:pPr>
    <w:rPr>
      <w:rFonts w:ascii="宋体" w:hAnsi="宋体" w:eastAsia="宋体"/>
      <w:sz w:val="28"/>
      <w:szCs w:val="28"/>
    </w:rPr>
  </w:style>
  <w:style w:type="paragraph" w:styleId="5">
    <w:name w:val="heading 3"/>
    <w:basedOn w:val="1"/>
    <w:next w:val="1"/>
    <w:unhideWhenUsed/>
    <w:qFormat/>
    <w:uiPriority w:val="0"/>
    <w:pPr>
      <w:keepNext/>
      <w:keepLines/>
      <w:spacing w:line="415" w:lineRule="auto"/>
      <w:outlineLvl w:val="2"/>
    </w:pPr>
    <w:rPr>
      <w:b/>
      <w:bCs/>
      <w:kern w:val="0"/>
      <w:sz w:val="20"/>
      <w:szCs w:val="32"/>
    </w:rPr>
  </w:style>
  <w:style w:type="character" w:default="1" w:styleId="6">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1"/>
    <w:pPr>
      <w:ind w:left="591"/>
    </w:pPr>
    <w:rPr>
      <w:rFonts w:ascii="宋体" w:hAnsi="宋体" w:eastAsia="宋体"/>
      <w:sz w:val="24"/>
      <w:szCs w:val="24"/>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0</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2024-08-27T18:08:00Z</dcterms:created>
  <dc:creator>刘斌</dc:creator>
  <cp:lastModifiedBy>丁玉磊</cp:lastModifiedBy>
  <dcterms:modified xsi:type="dcterms:W3CDTF">2024-11-22T11:49:12Z</dcterms:modified>
  <dc:title>潍坊银行股份有限公司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LastSaved">
    <vt:filetime>2024-08-27T00:00:00Z</vt:filetime>
  </property>
  <property fmtid="{D5CDD505-2E9C-101B-9397-08002B2CF9AE}" pid="4" name="KSOProductBuildVer">
    <vt:lpwstr>2052-10.8.0.5800</vt:lpwstr>
  </property>
</Properties>
</file>